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5E63" w14:textId="77777777" w:rsidR="005425C0" w:rsidRDefault="00692935">
      <w:pPr>
        <w:jc w:val="center"/>
        <w:rPr>
          <w:rFonts w:hAnsi="Arial"/>
          <w:sz w:val="21"/>
          <w:szCs w:val="21"/>
        </w:rPr>
      </w:pPr>
      <w:r>
        <w:rPr>
          <w:rFonts w:hAnsi="Arial"/>
          <w:b/>
          <w:sz w:val="21"/>
          <w:szCs w:val="21"/>
        </w:rPr>
        <w:t>KİŞİSEL VERİ SAKLAMA VE İMHA POLİTİKA</w:t>
      </w:r>
      <w:bookmarkStart w:id="0" w:name="_Toc31893100"/>
      <w:r>
        <w:rPr>
          <w:rFonts w:hAnsi="Arial"/>
          <w:b/>
          <w:sz w:val="21"/>
          <w:szCs w:val="21"/>
        </w:rPr>
        <w:t>SI</w:t>
      </w:r>
    </w:p>
    <w:p w14:paraId="16E25E64" w14:textId="77777777" w:rsidR="005425C0" w:rsidRDefault="00692935">
      <w:pPr>
        <w:pStyle w:val="Balk1"/>
        <w:rPr>
          <w:rFonts w:hAnsi="Arial"/>
          <w:sz w:val="21"/>
          <w:szCs w:val="21"/>
        </w:rPr>
      </w:pPr>
      <w:r>
        <w:rPr>
          <w:rFonts w:hAnsi="Arial"/>
          <w:sz w:val="21"/>
          <w:szCs w:val="21"/>
        </w:rPr>
        <w:t>1. AM</w:t>
      </w:r>
      <w:bookmarkEnd w:id="0"/>
      <w:r>
        <w:rPr>
          <w:rFonts w:hAnsi="Arial"/>
          <w:sz w:val="21"/>
          <w:szCs w:val="21"/>
        </w:rPr>
        <w:t>AÇ</w:t>
      </w:r>
    </w:p>
    <w:p w14:paraId="16E25E65" w14:textId="77777777" w:rsidR="005425C0" w:rsidRDefault="00692935">
      <w:pPr>
        <w:rPr>
          <w:rFonts w:hAnsi="Arial"/>
          <w:sz w:val="21"/>
          <w:szCs w:val="21"/>
        </w:rPr>
      </w:pPr>
      <w:r>
        <w:rPr>
          <w:rFonts w:hAnsi="Arial"/>
          <w:sz w:val="21"/>
          <w:szCs w:val="21"/>
        </w:rPr>
        <w:t>Kişisel Veri İmha Politikasının (“Politika”) amacı Türkiye Taekwondo Federasyonu’ nun mevcut ve potansiyel sporcuları,</w:t>
      </w:r>
      <w:r w:rsidR="0075782C">
        <w:rPr>
          <w:rFonts w:hAnsi="Arial"/>
          <w:sz w:val="21"/>
          <w:szCs w:val="21"/>
        </w:rPr>
        <w:t xml:space="preserve"> </w:t>
      </w:r>
      <w:r>
        <w:rPr>
          <w:rFonts w:hAnsi="Arial"/>
          <w:sz w:val="21"/>
          <w:szCs w:val="21"/>
        </w:rPr>
        <w:t>antrenörleri, iş ortakları, ziyaretçileri, yöneticileri, çalışan adayları, işbirliği içinde bulunulan kurum çalışanları ve yetkilileri ile ilgili üçüncü kişilere ait kişisel verilerin imhası hususundaki prensiplerin belirlenmesi, Anayasa’nın 20’nci maddesi, 6698 sayılı Kişisel Verilerin Korunması Kanunu (‘’Kanun’’), 30224 s. Resmi Gazete'de yayınlanan Kişisel Verilerin Silinmesi, Yok Edilmesi Veya Anonim Hale Getirilmesi Hakkında Yönetmelik ("Yönetmelik") ve ilgili mevzuatlarına uyum sağlanması ve bu doğrultuda gerekli imha usul ve sistemlerinin belirlenmesinden ibarettir.</w:t>
      </w:r>
    </w:p>
    <w:p w14:paraId="16E25E66" w14:textId="77777777" w:rsidR="005425C0" w:rsidRDefault="00692935">
      <w:pPr>
        <w:pStyle w:val="Balk1"/>
        <w:rPr>
          <w:rFonts w:hAnsi="Arial"/>
          <w:sz w:val="21"/>
          <w:szCs w:val="21"/>
        </w:rPr>
      </w:pPr>
      <w:bookmarkStart w:id="1" w:name="_Toc31893101"/>
      <w:r>
        <w:rPr>
          <w:rFonts w:hAnsi="Arial"/>
          <w:sz w:val="21"/>
          <w:szCs w:val="21"/>
        </w:rPr>
        <w:t>2. TANIMLAR</w:t>
      </w:r>
      <w:bookmarkEnd w:id="1"/>
    </w:p>
    <w:p w14:paraId="16E25E67" w14:textId="77777777" w:rsidR="005425C0" w:rsidRDefault="00692935">
      <w:pPr>
        <w:rPr>
          <w:rFonts w:hAnsi="Arial"/>
          <w:sz w:val="21"/>
          <w:szCs w:val="21"/>
        </w:rPr>
      </w:pPr>
      <w:r>
        <w:rPr>
          <w:rFonts w:hAnsi="Arial"/>
          <w:sz w:val="21"/>
          <w:szCs w:val="21"/>
        </w:rPr>
        <w:t>Bu politikada ver verilen;</w:t>
      </w:r>
    </w:p>
    <w:p w14:paraId="16E25E68" w14:textId="77777777" w:rsidR="005425C0" w:rsidRDefault="00692935">
      <w:pPr>
        <w:rPr>
          <w:rFonts w:hAnsi="Arial"/>
          <w:sz w:val="21"/>
          <w:szCs w:val="21"/>
        </w:rPr>
      </w:pPr>
      <w:r>
        <w:rPr>
          <w:rFonts w:hAnsi="Arial"/>
          <w:b/>
          <w:sz w:val="21"/>
          <w:szCs w:val="21"/>
        </w:rPr>
        <w:t>Alıcı grubu:</w:t>
      </w:r>
      <w:r>
        <w:rPr>
          <w:rFonts w:hAnsi="Arial"/>
          <w:sz w:val="21"/>
          <w:szCs w:val="21"/>
        </w:rPr>
        <w:t xml:space="preserve"> Veri sorumlusu tarafından kişisel verilerin aktarıldığı gerçek veya tüzel kişi kategorisini,</w:t>
      </w:r>
    </w:p>
    <w:p w14:paraId="16E25E69" w14:textId="77777777" w:rsidR="005425C0" w:rsidRDefault="00692935">
      <w:pPr>
        <w:rPr>
          <w:rFonts w:hAnsi="Arial"/>
          <w:sz w:val="21"/>
          <w:szCs w:val="21"/>
        </w:rPr>
      </w:pPr>
      <w:r>
        <w:rPr>
          <w:rFonts w:hAnsi="Arial"/>
          <w:b/>
          <w:sz w:val="21"/>
          <w:szCs w:val="21"/>
        </w:rPr>
        <w:t>İlgili kullanıcı:</w:t>
      </w:r>
      <w:r>
        <w:rPr>
          <w:rFonts w:hAnsi="Arial"/>
          <w:sz w:val="21"/>
          <w:szCs w:val="21"/>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w:t>
      </w:r>
    </w:p>
    <w:p w14:paraId="16E25E6A" w14:textId="77777777" w:rsidR="005425C0" w:rsidRDefault="00692935">
      <w:pPr>
        <w:rPr>
          <w:rFonts w:hAnsi="Arial"/>
          <w:sz w:val="21"/>
          <w:szCs w:val="21"/>
        </w:rPr>
      </w:pPr>
      <w:r>
        <w:rPr>
          <w:rFonts w:hAnsi="Arial"/>
          <w:b/>
          <w:sz w:val="21"/>
          <w:szCs w:val="21"/>
        </w:rPr>
        <w:t>İmha:</w:t>
      </w:r>
      <w:r>
        <w:rPr>
          <w:rFonts w:hAnsi="Arial"/>
          <w:sz w:val="21"/>
          <w:szCs w:val="21"/>
        </w:rPr>
        <w:t xml:space="preserve"> Kişisel verilerin silinmesi, yok edilmesi veya anonim hale getirilmesini,</w:t>
      </w:r>
    </w:p>
    <w:p w14:paraId="16E25E6B" w14:textId="77777777" w:rsidR="005425C0" w:rsidRDefault="00692935">
      <w:pPr>
        <w:rPr>
          <w:rFonts w:hAnsi="Arial"/>
          <w:sz w:val="21"/>
          <w:szCs w:val="21"/>
        </w:rPr>
      </w:pPr>
      <w:r>
        <w:rPr>
          <w:rFonts w:hAnsi="Arial"/>
          <w:b/>
          <w:sz w:val="21"/>
          <w:szCs w:val="21"/>
        </w:rPr>
        <w:t>Kanun:</w:t>
      </w:r>
      <w:r>
        <w:rPr>
          <w:rFonts w:hAnsi="Arial"/>
          <w:sz w:val="21"/>
          <w:szCs w:val="21"/>
        </w:rPr>
        <w:t xml:space="preserve"> 24/3/2016 tarihli ve 6698 Sayılı Kişisel Verilerin Korunması Kanununu,</w:t>
      </w:r>
    </w:p>
    <w:p w14:paraId="16E25E6C" w14:textId="77777777" w:rsidR="005425C0" w:rsidRDefault="00692935">
      <w:pPr>
        <w:rPr>
          <w:rFonts w:hAnsi="Arial"/>
          <w:sz w:val="21"/>
          <w:szCs w:val="21"/>
        </w:rPr>
      </w:pPr>
      <w:r>
        <w:rPr>
          <w:rFonts w:hAnsi="Arial"/>
          <w:b/>
          <w:sz w:val="21"/>
          <w:szCs w:val="21"/>
        </w:rPr>
        <w:t>Kayıt ortamı:</w:t>
      </w:r>
      <w:r>
        <w:rPr>
          <w:rFonts w:hAnsi="Arial"/>
          <w:sz w:val="21"/>
          <w:szCs w:val="21"/>
        </w:rPr>
        <w:t xml:space="preserve"> Tamamen veya kısmen otomatik olan ya da herhangi bir veri kayıt sisteminin parçası olmak kaydıyla otomatik olmayan yollarla işlenen kişisel verilerin bulunduğu her türlü ortamı,</w:t>
      </w:r>
    </w:p>
    <w:p w14:paraId="16E25E6D" w14:textId="77777777" w:rsidR="005425C0" w:rsidRDefault="00692935">
      <w:pPr>
        <w:rPr>
          <w:rFonts w:hAnsi="Arial"/>
          <w:sz w:val="21"/>
          <w:szCs w:val="21"/>
        </w:rPr>
      </w:pPr>
      <w:r>
        <w:rPr>
          <w:rFonts w:hAnsi="Arial"/>
          <w:b/>
          <w:sz w:val="21"/>
          <w:szCs w:val="21"/>
        </w:rPr>
        <w:t>Kişisel veri işleme envanteri:</w:t>
      </w:r>
      <w:r>
        <w:rPr>
          <w:rFonts w:hAnsi="Arial"/>
          <w:sz w:val="21"/>
          <w:szCs w:val="21"/>
        </w:rPr>
        <w:t xml:space="preserve"> Veri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envanteri,</w:t>
      </w:r>
    </w:p>
    <w:p w14:paraId="16E25E6E" w14:textId="77777777" w:rsidR="005425C0" w:rsidRDefault="00692935">
      <w:pPr>
        <w:rPr>
          <w:rFonts w:hAnsi="Arial"/>
          <w:sz w:val="21"/>
          <w:szCs w:val="21"/>
        </w:rPr>
      </w:pPr>
      <w:r>
        <w:rPr>
          <w:rFonts w:hAnsi="Arial"/>
          <w:b/>
          <w:sz w:val="21"/>
          <w:szCs w:val="21"/>
        </w:rPr>
        <w:t>Kurul:</w:t>
      </w:r>
      <w:r>
        <w:rPr>
          <w:rFonts w:hAnsi="Arial"/>
          <w:sz w:val="21"/>
          <w:szCs w:val="21"/>
        </w:rPr>
        <w:t xml:space="preserve"> Kişisel Verileri Koruma Kurulunu,</w:t>
      </w:r>
    </w:p>
    <w:p w14:paraId="16E25E6F" w14:textId="77777777" w:rsidR="005425C0" w:rsidRDefault="00692935">
      <w:pPr>
        <w:rPr>
          <w:rFonts w:hAnsi="Arial"/>
          <w:sz w:val="21"/>
          <w:szCs w:val="21"/>
        </w:rPr>
      </w:pPr>
      <w:r>
        <w:rPr>
          <w:rFonts w:hAnsi="Arial"/>
          <w:b/>
          <w:sz w:val="21"/>
          <w:szCs w:val="21"/>
        </w:rPr>
        <w:t xml:space="preserve">Periyodik imha: </w:t>
      </w:r>
      <w:r>
        <w:rPr>
          <w:rFonts w:hAnsi="Arial"/>
          <w:sz w:val="21"/>
          <w:szCs w:val="21"/>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p w14:paraId="16E25E70" w14:textId="77777777" w:rsidR="005425C0" w:rsidRDefault="00692935">
      <w:pPr>
        <w:rPr>
          <w:rFonts w:hAnsi="Arial"/>
          <w:sz w:val="21"/>
          <w:szCs w:val="21"/>
        </w:rPr>
      </w:pPr>
      <w:r>
        <w:rPr>
          <w:rFonts w:hAnsi="Arial"/>
          <w:b/>
          <w:sz w:val="21"/>
          <w:szCs w:val="21"/>
        </w:rPr>
        <w:t>Sicil:</w:t>
      </w:r>
      <w:r>
        <w:rPr>
          <w:rFonts w:hAnsi="Arial"/>
          <w:sz w:val="21"/>
          <w:szCs w:val="21"/>
        </w:rPr>
        <w:t xml:space="preserve"> Kişisel Verileri Koruma Kurumu Başkanlığı tarafından tutulan veri sorumluları sicilini,</w:t>
      </w:r>
    </w:p>
    <w:p w14:paraId="16E25E71" w14:textId="77777777" w:rsidR="005425C0" w:rsidRDefault="00692935">
      <w:pPr>
        <w:rPr>
          <w:rFonts w:hAnsi="Arial"/>
          <w:sz w:val="21"/>
          <w:szCs w:val="21"/>
        </w:rPr>
      </w:pPr>
      <w:r>
        <w:rPr>
          <w:rFonts w:hAnsi="Arial"/>
          <w:b/>
          <w:sz w:val="21"/>
          <w:szCs w:val="21"/>
        </w:rPr>
        <w:t>Veri kayıt sistemi:</w:t>
      </w:r>
      <w:r>
        <w:rPr>
          <w:rFonts w:hAnsi="Arial"/>
          <w:sz w:val="21"/>
          <w:szCs w:val="21"/>
        </w:rPr>
        <w:t xml:space="preserve"> Kişisel verilerin belirli kriterlere göre yapılandırılarak işlendiği kayıt sistemini,</w:t>
      </w:r>
    </w:p>
    <w:p w14:paraId="16E25E72" w14:textId="77777777" w:rsidR="005425C0" w:rsidRDefault="00692935">
      <w:pPr>
        <w:rPr>
          <w:rFonts w:hAnsi="Arial"/>
          <w:sz w:val="21"/>
          <w:szCs w:val="21"/>
        </w:rPr>
      </w:pPr>
      <w:r>
        <w:rPr>
          <w:rFonts w:hAnsi="Arial"/>
          <w:b/>
          <w:sz w:val="21"/>
          <w:szCs w:val="21"/>
        </w:rPr>
        <w:lastRenderedPageBreak/>
        <w:t>Veri sorumlusu:</w:t>
      </w:r>
      <w:r>
        <w:rPr>
          <w:rFonts w:hAnsi="Arial"/>
          <w:sz w:val="21"/>
          <w:szCs w:val="21"/>
        </w:rPr>
        <w:t xml:space="preserve"> Kişisel verilerin işleme amaçlarını ve vasıtalarını belirleyen, veri kayıt sisteminin kurulmasından ve yönetilmesinden sorumlu olan gerçek veya tüzel kişiyi, ifade eder.</w:t>
      </w:r>
    </w:p>
    <w:p w14:paraId="16E25E73" w14:textId="77777777" w:rsidR="005425C0" w:rsidRDefault="00692935">
      <w:pPr>
        <w:pStyle w:val="Balk1"/>
        <w:rPr>
          <w:rFonts w:hAnsi="Arial"/>
          <w:sz w:val="21"/>
          <w:szCs w:val="21"/>
        </w:rPr>
      </w:pPr>
      <w:bookmarkStart w:id="2" w:name="_Toc31893102"/>
      <w:r>
        <w:rPr>
          <w:rFonts w:hAnsi="Arial"/>
          <w:sz w:val="21"/>
          <w:szCs w:val="21"/>
        </w:rPr>
        <w:t>3. KİŞİSEL VERİLERİN SAKLANMASI VE İMHASINI GEREKTİREN SEBEPLER</w:t>
      </w:r>
      <w:bookmarkEnd w:id="2"/>
      <w:r>
        <w:rPr>
          <w:rFonts w:hAnsi="Arial"/>
          <w:sz w:val="21"/>
          <w:szCs w:val="21"/>
        </w:rPr>
        <w:t xml:space="preserve"> </w:t>
      </w:r>
    </w:p>
    <w:p w14:paraId="16E25E74" w14:textId="77777777" w:rsidR="005425C0" w:rsidRDefault="00692935">
      <w:pPr>
        <w:rPr>
          <w:rFonts w:hAnsi="Arial"/>
          <w:b/>
          <w:sz w:val="21"/>
          <w:szCs w:val="21"/>
        </w:rPr>
      </w:pPr>
      <w:r>
        <w:rPr>
          <w:rFonts w:hAnsi="Arial"/>
          <w:sz w:val="21"/>
          <w:szCs w:val="21"/>
        </w:rPr>
        <w:t>Kanun ve diğer ilgili mevzuat çerçevesinde; sporculara,</w:t>
      </w:r>
      <w:r w:rsidR="0075782C">
        <w:rPr>
          <w:rFonts w:hAnsi="Arial"/>
          <w:sz w:val="21"/>
          <w:szCs w:val="21"/>
        </w:rPr>
        <w:t xml:space="preserve"> </w:t>
      </w:r>
      <w:r>
        <w:rPr>
          <w:rFonts w:hAnsi="Arial"/>
          <w:sz w:val="21"/>
          <w:szCs w:val="21"/>
        </w:rPr>
        <w:t xml:space="preserve">antrenörlere, çalışanlara ve diğer üçüncü kişilere ait kişisel veriler hukuki, teknik ve diğer sebeplerle işlenmekte, saklanmakta ve imha edilmektedir. </w:t>
      </w:r>
    </w:p>
    <w:p w14:paraId="16E25E75" w14:textId="42403C56" w:rsidR="005425C0" w:rsidRDefault="00692935">
      <w:pPr>
        <w:spacing w:before="120" w:after="120"/>
        <w:rPr>
          <w:rFonts w:hAnsi="Arial"/>
          <w:sz w:val="21"/>
          <w:szCs w:val="21"/>
        </w:rPr>
      </w:pPr>
      <w:r>
        <w:rPr>
          <w:rFonts w:hAnsi="Arial"/>
          <w:sz w:val="21"/>
          <w:szCs w:val="21"/>
        </w:rPr>
        <w:t xml:space="preserve">İlgili kullanıcılar tarafından </w:t>
      </w:r>
      <w:r w:rsidR="003164E1">
        <w:rPr>
          <w:rFonts w:hAnsi="Arial"/>
          <w:sz w:val="21"/>
          <w:szCs w:val="21"/>
        </w:rPr>
        <w:t xml:space="preserve">veri sahiplerine </w:t>
      </w:r>
      <w:r>
        <w:rPr>
          <w:rFonts w:hAnsi="Arial"/>
          <w:sz w:val="21"/>
          <w:szCs w:val="21"/>
        </w:rPr>
        <w:t xml:space="preserve">ait kimlik ve iletişim bilgileri, </w:t>
      </w:r>
      <w:r w:rsidR="003164E1">
        <w:rPr>
          <w:rFonts w:hAnsi="Arial"/>
          <w:sz w:val="21"/>
          <w:szCs w:val="21"/>
        </w:rPr>
        <w:t xml:space="preserve">lokasyon bilgileri, </w:t>
      </w:r>
      <w:r>
        <w:rPr>
          <w:rFonts w:hAnsi="Arial"/>
          <w:sz w:val="21"/>
          <w:szCs w:val="21"/>
        </w:rPr>
        <w:t xml:space="preserve">ödemeye </w:t>
      </w:r>
      <w:r w:rsidR="003164E1">
        <w:rPr>
          <w:rFonts w:hAnsi="Arial"/>
          <w:sz w:val="21"/>
          <w:szCs w:val="21"/>
        </w:rPr>
        <w:t>ilişkin veriler, sertifika bilileriniz, hukuki işlem bilgileri, imza verileri,</w:t>
      </w:r>
      <w:r>
        <w:rPr>
          <w:rFonts w:hAnsi="Arial"/>
          <w:sz w:val="21"/>
          <w:szCs w:val="21"/>
        </w:rPr>
        <w:t xml:space="preserve"> görsel verileri, internet sitesini ziyaret veya ortak internet ağına katılma halinde dijital iz verileri gibi genel nitelikli kişisel veriler ile </w:t>
      </w:r>
      <w:r w:rsidR="003164E1">
        <w:rPr>
          <w:rFonts w:hAnsi="Arial"/>
          <w:sz w:val="21"/>
          <w:szCs w:val="21"/>
        </w:rPr>
        <w:t xml:space="preserve">veri sahibinin açık rızasının varlığı </w:t>
      </w:r>
      <w:r>
        <w:rPr>
          <w:rFonts w:hAnsi="Arial"/>
          <w:sz w:val="21"/>
          <w:szCs w:val="21"/>
        </w:rPr>
        <w:t>halinde sağlık veriler</w:t>
      </w:r>
      <w:r w:rsidR="003164E1">
        <w:rPr>
          <w:rFonts w:hAnsi="Arial"/>
          <w:sz w:val="21"/>
          <w:szCs w:val="21"/>
        </w:rPr>
        <w:t xml:space="preserve">i, ırk ve etnik köken, cezai mahkumiyet ve güvenlik tedbirleri </w:t>
      </w:r>
      <w:r>
        <w:rPr>
          <w:rFonts w:hAnsi="Arial"/>
          <w:sz w:val="21"/>
          <w:szCs w:val="21"/>
        </w:rPr>
        <w:t xml:space="preserve">gibi özel nitelikli kişisel verileriniz ilgili kişi olan sporcu ve antrenörlerden ve/veya sporcu/antrenör </w:t>
      </w:r>
      <w:r w:rsidR="003164E1">
        <w:rPr>
          <w:rFonts w:hAnsi="Arial"/>
          <w:sz w:val="21"/>
          <w:szCs w:val="21"/>
        </w:rPr>
        <w:t>adaylarının lisans kayıtlarını</w:t>
      </w:r>
      <w:r>
        <w:rPr>
          <w:rFonts w:hAnsi="Arial"/>
          <w:sz w:val="21"/>
          <w:szCs w:val="21"/>
        </w:rPr>
        <w:t>n tutulması, lisanslarının oluşturulması, sicillerinin kayıt altında tutulması, müsabakalara katılımının sağlanması ve takibi, kuşak seviyesinin belirlenmesi, sınav ve seminerlerin düzenlenmesi ve katılımının sağlanması, kulüp bilgilerinin belirlenmesi, talep ve şikâyetlerinizin kayıt altına alınması, çeşitli kanallar üzerinden cevaplanması ve yönetilmesi, sunulan hizmetin özelleştirilmesi ve geliştirilmesi,</w:t>
      </w:r>
      <w:r>
        <w:rPr>
          <w:rFonts w:hAnsi="Arial"/>
          <w:sz w:val="21"/>
          <w:szCs w:val="21"/>
          <w:lang w:eastAsia="en-US"/>
        </w:rPr>
        <w:t xml:space="preserve"> t</w:t>
      </w:r>
      <w:r>
        <w:rPr>
          <w:rFonts w:hAnsi="Arial"/>
          <w:sz w:val="21"/>
          <w:szCs w:val="21"/>
        </w:rPr>
        <w:t xml:space="preserve">anıtım, reklam, kampanya, çekiliş, bilgilendirme, iletişim faaliyetlerinin yürütülmesi, hizmetlerimizin geliştirilebilmesi amacıyla memnuniyet </w:t>
      </w:r>
      <w:r>
        <w:rPr>
          <w:rFonts w:hAnsi="Arial"/>
          <w:color w:val="000000"/>
          <w:sz w:val="21"/>
          <w:szCs w:val="21"/>
        </w:rPr>
        <w:t>anketi yapılması, organizasyon ve etkinlik yönetimi, b</w:t>
      </w:r>
      <w:r>
        <w:rPr>
          <w:rFonts w:hAnsi="Arial"/>
          <w:sz w:val="21"/>
          <w:szCs w:val="21"/>
        </w:rPr>
        <w:t xml:space="preserve">ilgi ve veri güvenliğinin temini ve bilgi sistemlerinin sürekliliğinin sağlanması, 5651 sayılı kanun uyarınca elektronik ortamda oluşan log kayıtlarınızın tutulması, resmi kurum ve kuruluşlara gerekli bildirimlerin yapılması, kurumun güvenliğinin sağlanması, inceleme, soruşturma, raporlama, iç kontrol ve denetim faaliyetlerinin gerçekleştirilmesi ve Federasyon kapsamında hizmetlerin yürütülmesi ve geliştirilmesi, Federasyon faaliyetlerinin mevzuata ve politika ve prosedürlerine uyum sağlanması amaç ve sebepleriyle sınırlı olarak işlenmekte saklanmakta ve imha edilmektedir.  </w:t>
      </w:r>
    </w:p>
    <w:p w14:paraId="16E25E76" w14:textId="77777777" w:rsidR="005425C0" w:rsidRDefault="00692935">
      <w:pPr>
        <w:spacing w:after="120"/>
        <w:rPr>
          <w:rFonts w:hAnsi="Arial"/>
          <w:b/>
          <w:sz w:val="21"/>
          <w:szCs w:val="21"/>
        </w:rPr>
      </w:pPr>
      <w:r>
        <w:rPr>
          <w:rFonts w:hAnsi="Arial"/>
          <w:sz w:val="21"/>
          <w:szCs w:val="21"/>
        </w:rPr>
        <w:t xml:space="preserve">Çalışan ve çalışan adaylarına ait kişisel verileri (kimlik verileri, iletişim verileri, </w:t>
      </w:r>
      <w:r w:rsidR="003164E1">
        <w:rPr>
          <w:rFonts w:hAnsi="Arial"/>
          <w:sz w:val="21"/>
          <w:szCs w:val="21"/>
        </w:rPr>
        <w:t xml:space="preserve">lokasyon verileri, </w:t>
      </w:r>
      <w:r>
        <w:rPr>
          <w:rFonts w:hAnsi="Arial"/>
          <w:sz w:val="21"/>
          <w:szCs w:val="21"/>
        </w:rPr>
        <w:t>görsel verileri, özlük verileri</w:t>
      </w:r>
      <w:r w:rsidR="003164E1">
        <w:rPr>
          <w:rFonts w:hAnsi="Arial"/>
          <w:sz w:val="21"/>
          <w:szCs w:val="21"/>
        </w:rPr>
        <w:t>, eğitim verileri, adli sicil kaydı, imza verisi</w:t>
      </w:r>
      <w:r>
        <w:rPr>
          <w:rFonts w:hAnsi="Arial"/>
          <w:sz w:val="21"/>
          <w:szCs w:val="21"/>
        </w:rPr>
        <w:t>, dijital iz veriler, vb. veriler) ve özel nitelikli kişisel veriler (sağlık veriler</w:t>
      </w:r>
      <w:r w:rsidR="003164E1">
        <w:rPr>
          <w:rFonts w:hAnsi="Arial"/>
          <w:sz w:val="21"/>
          <w:szCs w:val="21"/>
        </w:rPr>
        <w:t xml:space="preserve">i) </w:t>
      </w:r>
      <w:r>
        <w:rPr>
          <w:rFonts w:hAnsi="Arial"/>
          <w:sz w:val="21"/>
          <w:szCs w:val="21"/>
        </w:rPr>
        <w:t xml:space="preserve">paylaşılan diğer veriler, </w:t>
      </w:r>
      <w:r w:rsidR="003164E1">
        <w:rPr>
          <w:rFonts w:hAnsi="Arial"/>
          <w:sz w:val="21"/>
          <w:szCs w:val="21"/>
        </w:rPr>
        <w:t>(</w:t>
      </w:r>
      <w:r>
        <w:rPr>
          <w:rFonts w:hAnsi="Arial"/>
          <w:i/>
          <w:sz w:val="21"/>
          <w:szCs w:val="21"/>
        </w:rPr>
        <w:t>ayrıca özel nitelikli kişisel verilerden olup da kimlik belgelerinde yer alan din bilgisi ve kan grubu gibi bilgileri de dolaylı olarak kimlik ve/veya ehliyet suretinden gelebilmektedir.</w:t>
      </w:r>
      <w:r>
        <w:rPr>
          <w:rFonts w:hAnsi="Arial"/>
          <w:sz w:val="21"/>
          <w:szCs w:val="21"/>
        </w:rPr>
        <w:t>) iş akdinin ifası, performans değerlendirmesi ile yan hak ve menfaatlerin temini, eğitim, oryantasyon ve acil durum tatbikat süreçlerinin yürütülmesi, özlük dosyasının oluşturulması dâhil mevzuattan kaynaklanan yükümlülüklerin yerine getirilmesi, işyeri hekimi tarafından işe giriş muayene ve periyodik muayene ile sağlık hizmetlerinin sunulması,</w:t>
      </w:r>
      <w:r w:rsidR="0075782C">
        <w:rPr>
          <w:rFonts w:hAnsi="Arial"/>
          <w:sz w:val="21"/>
          <w:szCs w:val="21"/>
        </w:rPr>
        <w:t xml:space="preserve"> </w:t>
      </w:r>
      <w:r>
        <w:rPr>
          <w:rFonts w:hAnsi="Arial"/>
          <w:sz w:val="21"/>
          <w:szCs w:val="21"/>
        </w:rPr>
        <w:t xml:space="preserve">iş sağlığı ve güvenliği ile ilgili yükümlülüklerin yerine getirilmesi, etkinlik, seyahat, vize ve organizasyon süreçlerinin yürütülmesi, işyeri güvenliğinin sağlanması amacıyla kamera kayıtlarının alınması, giriş çıkışların takibi, 5651 sayılı Kanun uyarınca elektronik ortamda oluşan log kayıtlarının tutulması, </w:t>
      </w:r>
      <w:r w:rsidR="0075782C">
        <w:rPr>
          <w:rFonts w:hAnsi="Arial"/>
          <w:sz w:val="21"/>
          <w:szCs w:val="21"/>
        </w:rPr>
        <w:t xml:space="preserve">Federasyonumuzun </w:t>
      </w:r>
      <w:r>
        <w:rPr>
          <w:rFonts w:hAnsi="Arial"/>
          <w:sz w:val="21"/>
          <w:szCs w:val="21"/>
        </w:rPr>
        <w:t xml:space="preserve">tanıtım görsellerinin oluşturulabilmesi için işyerinde video ya da fotoğraf çekimi yapılması durumunda görsel verilerin işlenmesi ve yayınlanması, inceleme, soruşturma, raporlama, iç kontrol ve denetim faaliyetlerinin gerçekleştirilmesi, işten çıkıldığı takdirde iş sürekliliğinin sağlanabilmesi için mail arşivleri ile masaüstü dosyalarının saklanması ve kullanılması, kamu kurum ve kuruluşlarının taleplerinin yerine getirilmesi ve bildirimlerin yapılması, veri ve bilgi güvenliğinin sağlanması, erişim yetkilerinin yönetimi, hizmetlerin sunulması, yürütülmesi, geliştirilmesi, taleplerin ve cevapların karşılanması, ilgili </w:t>
      </w:r>
      <w:r>
        <w:rPr>
          <w:rFonts w:hAnsi="Arial"/>
          <w:sz w:val="21"/>
          <w:szCs w:val="21"/>
        </w:rPr>
        <w:lastRenderedPageBreak/>
        <w:t xml:space="preserve">mevzuata, politika ve prosedürlere uyum sağlanması amaç ve sebepleriyle sınırlı olarak işlenmekte saklanmakta ve imha edilmektedir. </w:t>
      </w:r>
    </w:p>
    <w:p w14:paraId="16E25E77" w14:textId="77777777" w:rsidR="005425C0" w:rsidRDefault="00692935">
      <w:pPr>
        <w:pStyle w:val="Balk1"/>
        <w:rPr>
          <w:rFonts w:hAnsi="Arial"/>
          <w:sz w:val="21"/>
          <w:szCs w:val="21"/>
        </w:rPr>
      </w:pPr>
      <w:bookmarkStart w:id="3" w:name="_Toc31893103"/>
      <w:r>
        <w:rPr>
          <w:rFonts w:hAnsi="Arial"/>
          <w:sz w:val="21"/>
          <w:szCs w:val="21"/>
        </w:rPr>
        <w:t>4. KİŞİSEL VERİLERİN SİLİNMESİ</w:t>
      </w:r>
      <w:bookmarkEnd w:id="3"/>
    </w:p>
    <w:p w14:paraId="16E25E78" w14:textId="77777777" w:rsidR="005425C0" w:rsidRDefault="00692935">
      <w:pPr>
        <w:rPr>
          <w:rFonts w:hAnsi="Arial"/>
          <w:sz w:val="21"/>
          <w:szCs w:val="21"/>
        </w:rPr>
      </w:pPr>
      <w:r>
        <w:rPr>
          <w:rFonts w:hAnsi="Arial"/>
          <w:sz w:val="21"/>
          <w:szCs w:val="21"/>
        </w:rPr>
        <w:t>Kişisel verilerin silinmesi işleminde izlenen süreç; silme işlemine konu teşkil edecek kişisel verilerin belirlenmesi, erişim yetki ve kontrol matrisi kullanarak her bir kişisel veri için ilgili kullanıcıların tespit edilmesi, ilgili kullanıcıların erişim, geri getirme, tekrar kullanma gibi yetkilerinin ve yöntemlerinin tespit edilmesi, ilgili kullanıcıların kişisel veriler kapsamındaki erişim, geri getirme, tekrar kullanma yetki ve yöntemlerinin kapatılması ve ortadan kaldırılması şeklinde gerçekleştirilir.</w:t>
      </w:r>
    </w:p>
    <w:p w14:paraId="16E25E79" w14:textId="77777777" w:rsidR="005425C0" w:rsidRDefault="00692935">
      <w:pPr>
        <w:rPr>
          <w:rFonts w:hAnsi="Arial"/>
          <w:sz w:val="21"/>
          <w:szCs w:val="21"/>
        </w:rPr>
      </w:pPr>
      <w:r>
        <w:rPr>
          <w:rFonts w:hAnsi="Arial"/>
          <w:sz w:val="21"/>
          <w:szCs w:val="21"/>
        </w:rPr>
        <w:t>Kağıt ortamında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w:t>
      </w:r>
    </w:p>
    <w:p w14:paraId="16E25E7A" w14:textId="77777777" w:rsidR="005425C0" w:rsidRDefault="00692935">
      <w:pPr>
        <w:rPr>
          <w:rFonts w:hAnsi="Arial"/>
          <w:sz w:val="21"/>
          <w:szCs w:val="21"/>
        </w:rPr>
      </w:pPr>
      <w:r>
        <w:rPr>
          <w:rFonts w:hAnsi="Arial"/>
          <w:sz w:val="21"/>
          <w:szCs w:val="21"/>
        </w:rPr>
        <w:t xml:space="preserve">Merkezi sunucuda yer alan dosyaların işletim sistemindeki silme komutu ile silinir veya dosya ya da dosyanın bulunduğu dizin üzerinde ilgili kullanıcının erişim haklarının kaldırılır. </w:t>
      </w:r>
    </w:p>
    <w:p w14:paraId="16E25E7B" w14:textId="77777777" w:rsidR="005425C0" w:rsidRDefault="00692935">
      <w:pPr>
        <w:rPr>
          <w:rFonts w:hAnsi="Arial"/>
          <w:sz w:val="21"/>
          <w:szCs w:val="21"/>
        </w:rPr>
      </w:pPr>
      <w:r>
        <w:rPr>
          <w:rFonts w:hAnsi="Arial"/>
          <w:sz w:val="21"/>
          <w:szCs w:val="21"/>
        </w:rPr>
        <w:t>Kullanılan veri tabanlarında kişisel verilerin bulunduğu ilgili satırlar, veri tabanı komutları ile silinir.</w:t>
      </w:r>
    </w:p>
    <w:p w14:paraId="16E25E7C" w14:textId="77777777" w:rsidR="005425C0" w:rsidRDefault="00692935">
      <w:pPr>
        <w:pStyle w:val="Balk1"/>
        <w:rPr>
          <w:rFonts w:hAnsi="Arial"/>
          <w:sz w:val="21"/>
          <w:szCs w:val="21"/>
        </w:rPr>
      </w:pPr>
      <w:bookmarkStart w:id="4" w:name="_Toc31893104"/>
      <w:r>
        <w:rPr>
          <w:rFonts w:hAnsi="Arial"/>
          <w:sz w:val="21"/>
          <w:szCs w:val="21"/>
        </w:rPr>
        <w:t>5. KİŞİSEL VERİLERİN YOK EDİLMESİ YÖNTEMLERİ</w:t>
      </w:r>
      <w:bookmarkEnd w:id="4"/>
    </w:p>
    <w:p w14:paraId="16E25E7D" w14:textId="77777777" w:rsidR="005425C0" w:rsidRDefault="00692935">
      <w:pPr>
        <w:rPr>
          <w:rFonts w:hAnsi="Arial"/>
          <w:sz w:val="21"/>
          <w:szCs w:val="21"/>
        </w:rPr>
      </w:pPr>
      <w:r>
        <w:rPr>
          <w:rFonts w:hAnsi="Arial"/>
          <w:sz w:val="21"/>
          <w:szCs w:val="21"/>
        </w:rPr>
        <w:t>Kişisel veriler kanunen veya veri sorumlusu tarafından belirlenen saklama süreleri sona erdiğinde ilgili kullanıcı tarafından, demanyetize etme,</w:t>
      </w:r>
      <w:r w:rsidR="003164E1">
        <w:rPr>
          <w:rFonts w:hAnsi="Arial"/>
          <w:sz w:val="21"/>
          <w:szCs w:val="21"/>
        </w:rPr>
        <w:t xml:space="preserve"> </w:t>
      </w:r>
      <w:r>
        <w:rPr>
          <w:rFonts w:hAnsi="Arial"/>
          <w:sz w:val="21"/>
          <w:szCs w:val="21"/>
        </w:rPr>
        <w:t xml:space="preserve">fiziksel imha ve üzerine yazma yöntemleri kullanılarak yok edilir. </w:t>
      </w:r>
    </w:p>
    <w:p w14:paraId="16E25E7E" w14:textId="77777777" w:rsidR="005425C0" w:rsidRDefault="00692935">
      <w:pPr>
        <w:pStyle w:val="Balk1"/>
        <w:rPr>
          <w:rFonts w:hAnsi="Arial"/>
          <w:sz w:val="21"/>
          <w:szCs w:val="21"/>
        </w:rPr>
      </w:pPr>
      <w:bookmarkStart w:id="5" w:name="_Toc31893105"/>
      <w:r>
        <w:rPr>
          <w:rFonts w:hAnsi="Arial"/>
          <w:sz w:val="21"/>
          <w:szCs w:val="21"/>
        </w:rPr>
        <w:t>6. KİŞİSEL VERİLERİN ANONİM HALE GETİRİLMESİ</w:t>
      </w:r>
      <w:bookmarkEnd w:id="5"/>
    </w:p>
    <w:p w14:paraId="16E25E7F" w14:textId="77777777" w:rsidR="005425C0" w:rsidRDefault="00692935">
      <w:pPr>
        <w:rPr>
          <w:rFonts w:hAnsi="Arial"/>
          <w:sz w:val="21"/>
          <w:szCs w:val="21"/>
        </w:rPr>
      </w:pPr>
      <w:r>
        <w:rPr>
          <w:rFonts w:hAnsi="Arial"/>
          <w:sz w:val="21"/>
          <w:szCs w:val="21"/>
        </w:rPr>
        <w:t xml:space="preserve">Kişisel verilerin anonim hale getirilmesi, kişisel verilerin başka verilerle eşleştirilse dahi hiçbir surette kimliği belirli veya belirlenebilir bir gerçek kişiyle ilişkilendirilemeyecek hale getirilmesidir. Anonimleştirme ile; kişisel verilerin,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getirilir. </w:t>
      </w:r>
    </w:p>
    <w:p w14:paraId="16E25E80" w14:textId="77777777" w:rsidR="005425C0" w:rsidRDefault="00692935">
      <w:pPr>
        <w:pStyle w:val="Balk1"/>
        <w:rPr>
          <w:rFonts w:hAnsi="Arial"/>
          <w:sz w:val="21"/>
          <w:szCs w:val="21"/>
        </w:rPr>
      </w:pPr>
      <w:bookmarkStart w:id="6" w:name="_Toc31893106"/>
      <w:r>
        <w:rPr>
          <w:rFonts w:hAnsi="Arial"/>
          <w:sz w:val="21"/>
          <w:szCs w:val="21"/>
        </w:rPr>
        <w:t>7. KİŞİSEL VERİLERİN ANONİM HALE GETİRİLMESİ YÖNTEMLERİ</w:t>
      </w:r>
      <w:bookmarkEnd w:id="6"/>
      <w:r>
        <w:rPr>
          <w:rFonts w:hAnsi="Arial"/>
          <w:sz w:val="21"/>
          <w:szCs w:val="21"/>
        </w:rPr>
        <w:t xml:space="preserve"> </w:t>
      </w:r>
    </w:p>
    <w:p w14:paraId="16E25E81" w14:textId="77777777" w:rsidR="005425C0" w:rsidRDefault="00692935">
      <w:pPr>
        <w:rPr>
          <w:rFonts w:hAnsi="Arial"/>
          <w:sz w:val="21"/>
          <w:szCs w:val="21"/>
        </w:rPr>
      </w:pPr>
      <w:r>
        <w:rPr>
          <w:rFonts w:hAnsi="Arial"/>
          <w:sz w:val="21"/>
          <w:szCs w:val="21"/>
        </w:rPr>
        <w:t xml:space="preserve">Anonim hale getirme, bir veri kümesindeki tüm doğrudan veya dolaylı tanımlayıcıların çıkartılarak ya da değiştirilerek, ilgili kişinin kimliğinin saptanabilmesinin engellenmesi veya bir grup/kalabalık içinde ayırt edilebilir olma özelliğini, bir gerçek kişiyle ilişkilendirilemeyecek şekilde kaybetmesidir. Bu özelliklerin engellenmesi veya kaybedilmesi sonucunda belli bir kişiye işaret etmeyen veriler, anonim hale getirilmiş veri sayılır. </w:t>
      </w:r>
    </w:p>
    <w:p w14:paraId="16E25E82" w14:textId="77777777" w:rsidR="005425C0" w:rsidRDefault="00692935">
      <w:pPr>
        <w:rPr>
          <w:rFonts w:hAnsi="Arial"/>
          <w:sz w:val="21"/>
          <w:szCs w:val="21"/>
        </w:rPr>
      </w:pPr>
      <w:r>
        <w:rPr>
          <w:rFonts w:hAnsi="Arial"/>
          <w:sz w:val="21"/>
          <w:szCs w:val="21"/>
        </w:rPr>
        <w:t xml:space="preserve">Kişisel verinin tutulduğu veri kayıt sistemindeki kayıtlara uygulanan otomatik olan veya olmayan gruplama, maskeleme, türetme, genelleştirme, rastgele hale getirme gibi yöntemlerle yürütülen bağ koparma işlemlerinin hepsine anonim hale getirme yöntemleri adı verilir. </w:t>
      </w:r>
    </w:p>
    <w:p w14:paraId="16E25E83" w14:textId="77777777" w:rsidR="005425C0" w:rsidRDefault="00692935">
      <w:pPr>
        <w:rPr>
          <w:rFonts w:hAnsi="Arial"/>
          <w:sz w:val="21"/>
          <w:szCs w:val="21"/>
        </w:rPr>
      </w:pPr>
      <w:r>
        <w:rPr>
          <w:rFonts w:hAnsi="Arial"/>
          <w:sz w:val="21"/>
          <w:szCs w:val="21"/>
        </w:rPr>
        <w:t>Anonim hale getirmede aşağıdaki tabloda yer verilen yöntemler kullanılmaktadır: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4372"/>
      </w:tblGrid>
      <w:tr w:rsidR="005425C0" w14:paraId="16E25E8F" w14:textId="77777777">
        <w:tc>
          <w:tcPr>
            <w:tcW w:w="4773" w:type="dxa"/>
            <w:tcBorders>
              <w:top w:val="single" w:sz="4" w:space="0" w:color="000000"/>
              <w:left w:val="single" w:sz="4" w:space="0" w:color="000000"/>
              <w:bottom w:val="single" w:sz="4" w:space="0" w:color="000000"/>
              <w:right w:val="single" w:sz="4" w:space="0" w:color="000000"/>
              <w:tl2br w:val="nil"/>
              <w:tr2bl w:val="nil"/>
            </w:tcBorders>
          </w:tcPr>
          <w:p w14:paraId="16E25E84" w14:textId="77777777" w:rsidR="005425C0" w:rsidRDefault="005425C0">
            <w:pPr>
              <w:spacing w:after="0" w:line="240" w:lineRule="auto"/>
              <w:jc w:val="center"/>
              <w:rPr>
                <w:rFonts w:eastAsia="Times New Roman" w:hAnsi="Arial"/>
                <w:sz w:val="21"/>
                <w:szCs w:val="21"/>
              </w:rPr>
            </w:pPr>
          </w:p>
          <w:p w14:paraId="16E25E85" w14:textId="77777777" w:rsidR="005425C0" w:rsidRDefault="005425C0">
            <w:pPr>
              <w:spacing w:after="0" w:line="240" w:lineRule="auto"/>
              <w:jc w:val="center"/>
              <w:rPr>
                <w:rFonts w:eastAsia="Times New Roman" w:hAnsi="Arial"/>
                <w:sz w:val="21"/>
                <w:szCs w:val="21"/>
              </w:rPr>
            </w:pPr>
          </w:p>
          <w:p w14:paraId="16E25E86" w14:textId="77777777" w:rsidR="005425C0" w:rsidRDefault="005425C0">
            <w:pPr>
              <w:spacing w:after="0" w:line="240" w:lineRule="auto"/>
              <w:jc w:val="center"/>
              <w:rPr>
                <w:rFonts w:eastAsia="Times New Roman" w:hAnsi="Arial"/>
                <w:sz w:val="21"/>
                <w:szCs w:val="21"/>
              </w:rPr>
            </w:pPr>
          </w:p>
          <w:p w14:paraId="16E25E87" w14:textId="77777777" w:rsidR="005425C0" w:rsidRDefault="00692935">
            <w:pPr>
              <w:spacing w:after="0" w:line="240" w:lineRule="auto"/>
              <w:jc w:val="center"/>
              <w:rPr>
                <w:rFonts w:eastAsia="Times New Roman" w:hAnsi="Arial"/>
                <w:sz w:val="21"/>
                <w:szCs w:val="21"/>
              </w:rPr>
            </w:pPr>
            <w:r>
              <w:rPr>
                <w:rFonts w:eastAsia="Times New Roman" w:hAnsi="Arial"/>
                <w:sz w:val="21"/>
                <w:szCs w:val="21"/>
              </w:rPr>
              <w:t>Değer Düzensizliği Sağlamayan Anonim Hale Getirme Yöntemleri</w:t>
            </w:r>
          </w:p>
        </w:tc>
        <w:tc>
          <w:tcPr>
            <w:tcW w:w="4773" w:type="dxa"/>
            <w:tcBorders>
              <w:top w:val="single" w:sz="4" w:space="0" w:color="000000"/>
              <w:left w:val="single" w:sz="4" w:space="0" w:color="000000"/>
              <w:bottom w:val="single" w:sz="4" w:space="0" w:color="000000"/>
              <w:right w:val="single" w:sz="4" w:space="0" w:color="000000"/>
              <w:tl2br w:val="nil"/>
              <w:tr2bl w:val="nil"/>
            </w:tcBorders>
          </w:tcPr>
          <w:p w14:paraId="16E25E88"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Değişkenleri Çıkartma</w:t>
            </w:r>
          </w:p>
          <w:p w14:paraId="16E25E89"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 xml:space="preserve">Kayıtları Çıkartma </w:t>
            </w:r>
          </w:p>
          <w:p w14:paraId="16E25E8A"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 xml:space="preserve">Bölgesel Gizleme </w:t>
            </w:r>
          </w:p>
          <w:p w14:paraId="16E25E8B"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 xml:space="preserve">Genelleştirme </w:t>
            </w:r>
          </w:p>
          <w:p w14:paraId="16E25E8C"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Alt Ve Üst Sınır Kodlama</w:t>
            </w:r>
          </w:p>
          <w:p w14:paraId="16E25E8D"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Global Kodlama</w:t>
            </w:r>
          </w:p>
          <w:p w14:paraId="16E25E8E" w14:textId="77777777" w:rsidR="005425C0" w:rsidRDefault="00692935">
            <w:pPr>
              <w:numPr>
                <w:ilvl w:val="0"/>
                <w:numId w:val="1"/>
              </w:numPr>
              <w:spacing w:after="0" w:line="240" w:lineRule="auto"/>
              <w:rPr>
                <w:rFonts w:eastAsia="Times New Roman" w:hAnsi="Arial"/>
                <w:sz w:val="21"/>
                <w:szCs w:val="21"/>
              </w:rPr>
            </w:pPr>
            <w:r>
              <w:rPr>
                <w:rFonts w:eastAsia="Times New Roman" w:hAnsi="Arial"/>
                <w:sz w:val="21"/>
                <w:szCs w:val="21"/>
              </w:rPr>
              <w:t>Örnekleme</w:t>
            </w:r>
          </w:p>
        </w:tc>
      </w:tr>
      <w:tr w:rsidR="005425C0" w14:paraId="16E25E93" w14:textId="77777777">
        <w:tc>
          <w:tcPr>
            <w:tcW w:w="4773" w:type="dxa"/>
            <w:tcBorders>
              <w:top w:val="single" w:sz="4" w:space="0" w:color="000000"/>
              <w:left w:val="single" w:sz="4" w:space="0" w:color="000000"/>
              <w:bottom w:val="single" w:sz="4" w:space="0" w:color="000000"/>
              <w:right w:val="single" w:sz="4" w:space="0" w:color="000000"/>
              <w:tl2br w:val="nil"/>
              <w:tr2bl w:val="nil"/>
            </w:tcBorders>
          </w:tcPr>
          <w:p w14:paraId="16E25E90" w14:textId="77777777" w:rsidR="005425C0" w:rsidRDefault="00692935">
            <w:pPr>
              <w:spacing w:after="0" w:line="240" w:lineRule="auto"/>
              <w:jc w:val="center"/>
              <w:rPr>
                <w:rFonts w:eastAsia="Times New Roman" w:hAnsi="Arial"/>
                <w:sz w:val="21"/>
                <w:szCs w:val="21"/>
              </w:rPr>
            </w:pPr>
            <w:r>
              <w:rPr>
                <w:rFonts w:eastAsia="Times New Roman" w:hAnsi="Arial"/>
                <w:sz w:val="21"/>
                <w:szCs w:val="21"/>
              </w:rPr>
              <w:t>Değer Düzensizliği Sağlayan Anonim Hale Getirme Yöntemleri</w:t>
            </w:r>
          </w:p>
        </w:tc>
        <w:tc>
          <w:tcPr>
            <w:tcW w:w="4773" w:type="dxa"/>
            <w:tcBorders>
              <w:top w:val="single" w:sz="4" w:space="0" w:color="000000"/>
              <w:left w:val="single" w:sz="4" w:space="0" w:color="000000"/>
              <w:bottom w:val="single" w:sz="4" w:space="0" w:color="000000"/>
              <w:right w:val="single" w:sz="4" w:space="0" w:color="000000"/>
              <w:tl2br w:val="nil"/>
              <w:tr2bl w:val="nil"/>
            </w:tcBorders>
          </w:tcPr>
          <w:p w14:paraId="16E25E91" w14:textId="77777777" w:rsidR="005425C0" w:rsidRDefault="00692935">
            <w:pPr>
              <w:numPr>
                <w:ilvl w:val="0"/>
                <w:numId w:val="2"/>
              </w:numPr>
              <w:spacing w:after="0" w:line="240" w:lineRule="auto"/>
              <w:rPr>
                <w:rFonts w:eastAsia="Times New Roman" w:hAnsi="Arial"/>
                <w:sz w:val="21"/>
                <w:szCs w:val="21"/>
              </w:rPr>
            </w:pPr>
            <w:r>
              <w:rPr>
                <w:rFonts w:eastAsia="Times New Roman" w:hAnsi="Arial"/>
                <w:sz w:val="21"/>
                <w:szCs w:val="21"/>
              </w:rPr>
              <w:t xml:space="preserve">Mikro Birleştirme </w:t>
            </w:r>
          </w:p>
          <w:p w14:paraId="16E25E92" w14:textId="77777777" w:rsidR="005425C0" w:rsidRDefault="00692935">
            <w:pPr>
              <w:numPr>
                <w:ilvl w:val="0"/>
                <w:numId w:val="2"/>
              </w:numPr>
              <w:spacing w:after="0" w:line="240" w:lineRule="auto"/>
              <w:rPr>
                <w:rFonts w:eastAsia="Times New Roman" w:hAnsi="Arial"/>
                <w:sz w:val="21"/>
                <w:szCs w:val="21"/>
              </w:rPr>
            </w:pPr>
            <w:r>
              <w:rPr>
                <w:rFonts w:eastAsia="Times New Roman" w:hAnsi="Arial"/>
                <w:sz w:val="21"/>
                <w:szCs w:val="21"/>
              </w:rPr>
              <w:t>Veri Değiş Tokuşu</w:t>
            </w:r>
          </w:p>
        </w:tc>
      </w:tr>
    </w:tbl>
    <w:p w14:paraId="16E25E94" w14:textId="77777777" w:rsidR="005425C0" w:rsidRDefault="005425C0">
      <w:pPr>
        <w:rPr>
          <w:rFonts w:hAnsi="Arial"/>
          <w:sz w:val="21"/>
          <w:szCs w:val="21"/>
        </w:rPr>
      </w:pPr>
    </w:p>
    <w:p w14:paraId="16E25E95" w14:textId="77777777" w:rsidR="005425C0" w:rsidRDefault="00692935">
      <w:pPr>
        <w:rPr>
          <w:rFonts w:hAnsi="Arial"/>
          <w:sz w:val="21"/>
          <w:szCs w:val="21"/>
        </w:rPr>
      </w:pPr>
      <w:r>
        <w:rPr>
          <w:rFonts w:hAnsi="Arial"/>
          <w:sz w:val="21"/>
          <w:szCs w:val="21"/>
        </w:rPr>
        <w:t>Kişisel verilerin; niteliği, büyüklüğü, fiziki ortamlarda bulunma yapısı,  çeşitliliği, sağlanmak istenen fayda ve işleme amacı, işlenme sıklığı, aktarılacağı tarafın güvenilirliği, anonim hale getirilmesi için harcanacak çabanın anlamlı olması, anonimliğinin bozulması halinde ortaya çıkabilecek zararın büyüklüğü, etki alanı, dağıtıklık/merkezilik oranı, kullanıcıların ilgili veriye erişim yetki kontrolü kıstasları ve anonimliği bozacak bir saldırı kurgulanması, hayata geçirilmesi için harcayacağı çabanın anlamlı olması ihtimali gözetilerek her bir kişisel veri grubu için yukarıda belirtilen yöntemlerden uygun olanları kullanılarak anonimleştirme sağlanır.</w:t>
      </w:r>
    </w:p>
    <w:p w14:paraId="16E25E96" w14:textId="77777777" w:rsidR="005425C0" w:rsidRDefault="00692935">
      <w:pPr>
        <w:pStyle w:val="Balk1"/>
        <w:rPr>
          <w:rFonts w:hAnsi="Arial"/>
          <w:sz w:val="21"/>
          <w:szCs w:val="21"/>
        </w:rPr>
      </w:pPr>
      <w:bookmarkStart w:id="7" w:name="_Toc31893107"/>
      <w:r>
        <w:rPr>
          <w:rFonts w:hAnsi="Arial"/>
          <w:sz w:val="21"/>
          <w:szCs w:val="21"/>
        </w:rPr>
        <w:t>8. KİŞİSEL VERİLERİN KAYIT ORTAMLARI</w:t>
      </w:r>
      <w:bookmarkEnd w:id="7"/>
    </w:p>
    <w:p w14:paraId="16E25E97" w14:textId="77777777" w:rsidR="005425C0" w:rsidRDefault="00692935">
      <w:pPr>
        <w:spacing w:before="100" w:beforeAutospacing="1" w:after="100" w:afterAutospacing="1"/>
        <w:rPr>
          <w:rFonts w:hAnsi="Arial"/>
          <w:sz w:val="21"/>
          <w:szCs w:val="21"/>
        </w:rPr>
      </w:pPr>
      <w:r>
        <w:rPr>
          <w:rFonts w:hAnsi="Arial"/>
          <w:sz w:val="21"/>
          <w:szCs w:val="21"/>
        </w:rPr>
        <w:t xml:space="preserve">Federasyon tarafından toplanan kişisel veriler, aşağıda yer alan tabloda belirtilen kayıt ortamlarında hukuka uygun olarak güvenli bir şekilde saklanır.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3572"/>
      </w:tblGrid>
      <w:tr w:rsidR="005425C0" w14:paraId="16E25E9A" w14:textId="77777777">
        <w:tc>
          <w:tcPr>
            <w:tcW w:w="0" w:type="auto"/>
            <w:tcBorders>
              <w:top w:val="single" w:sz="4" w:space="0" w:color="000000"/>
              <w:left w:val="single" w:sz="4" w:space="0" w:color="000000"/>
              <w:bottom w:val="single" w:sz="4" w:space="0" w:color="000000"/>
              <w:right w:val="single" w:sz="4" w:space="0" w:color="000000"/>
              <w:tl2br w:val="nil"/>
              <w:tr2bl w:val="nil"/>
            </w:tcBorders>
          </w:tcPr>
          <w:p w14:paraId="16E25E98" w14:textId="77777777" w:rsidR="005425C0" w:rsidRDefault="00692935">
            <w:pPr>
              <w:spacing w:before="100" w:beforeAutospacing="1" w:after="100" w:afterAutospacing="1"/>
              <w:rPr>
                <w:rFonts w:hAnsi="Arial"/>
                <w:b/>
                <w:sz w:val="21"/>
                <w:szCs w:val="21"/>
              </w:rPr>
            </w:pPr>
            <w:r>
              <w:rPr>
                <w:rFonts w:hAnsi="Arial"/>
                <w:b/>
                <w:sz w:val="21"/>
                <w:szCs w:val="21"/>
              </w:rPr>
              <w:t>Elektronik Kayıt Ortamları</w:t>
            </w:r>
          </w:p>
        </w:tc>
        <w:tc>
          <w:tcPr>
            <w:tcW w:w="0" w:type="auto"/>
            <w:tcBorders>
              <w:top w:val="single" w:sz="4" w:space="0" w:color="000000"/>
              <w:left w:val="single" w:sz="4" w:space="0" w:color="000000"/>
              <w:bottom w:val="single" w:sz="4" w:space="0" w:color="000000"/>
              <w:right w:val="single" w:sz="4" w:space="0" w:color="000000"/>
              <w:tl2br w:val="nil"/>
              <w:tr2bl w:val="nil"/>
            </w:tcBorders>
          </w:tcPr>
          <w:p w14:paraId="16E25E99" w14:textId="77777777" w:rsidR="005425C0" w:rsidRDefault="00692935">
            <w:pPr>
              <w:spacing w:before="100" w:beforeAutospacing="1" w:after="100" w:afterAutospacing="1"/>
              <w:rPr>
                <w:rFonts w:hAnsi="Arial"/>
                <w:b/>
                <w:sz w:val="21"/>
                <w:szCs w:val="21"/>
              </w:rPr>
            </w:pPr>
            <w:r>
              <w:rPr>
                <w:rFonts w:hAnsi="Arial"/>
                <w:b/>
                <w:sz w:val="21"/>
                <w:szCs w:val="21"/>
              </w:rPr>
              <w:t>Elektronik Olmayan Kayıt Ortamları</w:t>
            </w:r>
          </w:p>
        </w:tc>
      </w:tr>
      <w:tr w:rsidR="005425C0" w14:paraId="16E25EA6" w14:textId="77777777">
        <w:tc>
          <w:tcPr>
            <w:tcW w:w="0" w:type="auto"/>
            <w:tcBorders>
              <w:top w:val="single" w:sz="4" w:space="0" w:color="000000"/>
              <w:left w:val="single" w:sz="4" w:space="0" w:color="000000"/>
              <w:bottom w:val="single" w:sz="4" w:space="0" w:color="000000"/>
              <w:right w:val="single" w:sz="4" w:space="0" w:color="000000"/>
              <w:tl2br w:val="nil"/>
              <w:tr2bl w:val="nil"/>
            </w:tcBorders>
          </w:tcPr>
          <w:p w14:paraId="16E25E9B"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Sunucular (Etki alanı, yedekleme, e-posta, veritabanı, web, dosya paylaşım, vb.)</w:t>
            </w:r>
            <w:r>
              <w:rPr>
                <w:rFonts w:hAnsi="Arial"/>
                <w:sz w:val="21"/>
                <w:szCs w:val="21"/>
              </w:rPr>
              <w:br/>
              <w:t xml:space="preserve">Yazılımlar (ofis yazılımları, portal, EBYS, VERBİS.) </w:t>
            </w:r>
          </w:p>
          <w:p w14:paraId="16E25E9C"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Bilgi güvenliği cihazları (güvenlik duvarı, saldırı tespit ve engelleme, günlük kayıt dosyası, antivirüs vb. )</w:t>
            </w:r>
          </w:p>
          <w:p w14:paraId="16E25E9D"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 xml:space="preserve">Kişisel bilgisayarlar </w:t>
            </w:r>
          </w:p>
          <w:p w14:paraId="16E25E9E"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 xml:space="preserve">Mobil cihazlar (telefon, tablet vb.) </w:t>
            </w:r>
          </w:p>
          <w:p w14:paraId="16E25E9F"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Optik diskler (CD, DVD vb.)</w:t>
            </w:r>
          </w:p>
          <w:p w14:paraId="16E25EA0"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Çıkartılabilir bellekler (USB, Hafıza Kart vb.)</w:t>
            </w:r>
          </w:p>
          <w:p w14:paraId="16E25EA1" w14:textId="77777777" w:rsidR="005425C0" w:rsidRDefault="00692935">
            <w:pPr>
              <w:numPr>
                <w:ilvl w:val="0"/>
                <w:numId w:val="3"/>
              </w:numPr>
              <w:spacing w:before="100" w:beforeAutospacing="1" w:after="100" w:afterAutospacing="1"/>
              <w:rPr>
                <w:rFonts w:hAnsi="Arial"/>
                <w:sz w:val="21"/>
                <w:szCs w:val="21"/>
              </w:rPr>
            </w:pPr>
            <w:r>
              <w:rPr>
                <w:rFonts w:hAnsi="Arial"/>
                <w:sz w:val="21"/>
                <w:szCs w:val="21"/>
              </w:rPr>
              <w:t>Yazıcı, tarayıcı, fotokopi makinesi</w:t>
            </w:r>
            <w:r>
              <w:rPr>
                <w:rFonts w:hAnsi="Arial"/>
                <w:sz w:val="21"/>
                <w:szCs w:val="21"/>
              </w:rPr>
              <w:fldChar w:fldCharType="begin"/>
            </w:r>
            <w:r>
              <w:rPr>
                <w:rFonts w:hAnsi="Arial"/>
                <w:sz w:val="21"/>
                <w:szCs w:val="21"/>
              </w:rPr>
              <w:instrText xml:space="preserve"> INCLUDEPICTURE "/var/folders/vd/pjcqtmmx7_19b3934pht1sww0000gn/T/com.microsoft.Word/WebArchiveCopyPasteTempFiles/page8image17640" \* MERGEFORMATINET </w:instrText>
            </w:r>
            <w:r>
              <w:rPr>
                <w:rFonts w:hAnsi="Arial"/>
                <w:sz w:val="21"/>
                <w:szCs w:val="21"/>
              </w:rPr>
              <w:fldChar w:fldCharType="separate"/>
            </w:r>
            <w:r>
              <w:rPr>
                <w:rFonts w:hAnsi="Arial"/>
                <w:noProof/>
                <w:sz w:val="21"/>
                <w:szCs w:val="21"/>
              </w:rPr>
              <w:drawing>
                <wp:inline distT="0" distB="0" distL="114300" distR="114300" wp14:anchorId="16E25F1A" wp14:editId="16E25F1B">
                  <wp:extent cx="10795" cy="10795"/>
                  <wp:effectExtent l="0" t="0" r="0" b="0"/>
                  <wp:docPr id="1" name="Picture 1" descr="page8image1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ge8image17640"/>
                          <pic:cNvPicPr>
                            <a:picLocks noChangeAspect="1"/>
                          </pic:cNvPicPr>
                        </pic:nvPicPr>
                        <pic:blipFill>
                          <a:blip r:embed="rId8"/>
                          <a:stretch>
                            <a:fillRect/>
                          </a:stretch>
                        </pic:blipFill>
                        <pic:spPr>
                          <a:xfrm>
                            <a:off x="0" y="0"/>
                            <a:ext cx="10795" cy="10795"/>
                          </a:xfrm>
                          <a:prstGeom prst="rect">
                            <a:avLst/>
                          </a:prstGeom>
                          <a:noFill/>
                          <a:ln>
                            <a:noFill/>
                          </a:ln>
                        </pic:spPr>
                      </pic:pic>
                    </a:graphicData>
                  </a:graphic>
                </wp:inline>
              </w:drawing>
            </w:r>
            <w:r>
              <w:rPr>
                <w:rFonts w:hAnsi="Arial"/>
                <w:sz w:val="21"/>
                <w:szCs w:val="21"/>
              </w:rPr>
              <w:fldChar w:fldCharType="end"/>
            </w:r>
          </w:p>
        </w:tc>
        <w:tc>
          <w:tcPr>
            <w:tcW w:w="0" w:type="auto"/>
            <w:tcBorders>
              <w:top w:val="single" w:sz="4" w:space="0" w:color="000000"/>
              <w:left w:val="single" w:sz="4" w:space="0" w:color="000000"/>
              <w:bottom w:val="single" w:sz="4" w:space="0" w:color="000000"/>
              <w:right w:val="single" w:sz="4" w:space="0" w:color="000000"/>
              <w:tl2br w:val="nil"/>
              <w:tr2bl w:val="nil"/>
            </w:tcBorders>
          </w:tcPr>
          <w:p w14:paraId="16E25EA2" w14:textId="77777777" w:rsidR="005425C0" w:rsidRDefault="00692935">
            <w:pPr>
              <w:numPr>
                <w:ilvl w:val="0"/>
                <w:numId w:val="4"/>
              </w:numPr>
              <w:spacing w:before="100" w:beforeAutospacing="1" w:after="100" w:afterAutospacing="1"/>
              <w:rPr>
                <w:rFonts w:hAnsi="Arial"/>
                <w:sz w:val="21"/>
                <w:szCs w:val="21"/>
              </w:rPr>
            </w:pPr>
            <w:r>
              <w:rPr>
                <w:rFonts w:hAnsi="Arial"/>
                <w:sz w:val="21"/>
                <w:szCs w:val="21"/>
              </w:rPr>
              <w:t>Kağıt</w:t>
            </w:r>
          </w:p>
          <w:p w14:paraId="16E25EA3" w14:textId="35579153" w:rsidR="005425C0" w:rsidRDefault="00692935">
            <w:pPr>
              <w:numPr>
                <w:ilvl w:val="0"/>
                <w:numId w:val="4"/>
              </w:numPr>
              <w:spacing w:before="100" w:beforeAutospacing="1" w:after="100" w:afterAutospacing="1"/>
              <w:rPr>
                <w:rFonts w:hAnsi="Arial"/>
                <w:sz w:val="21"/>
                <w:szCs w:val="21"/>
              </w:rPr>
            </w:pPr>
            <w:r>
              <w:rPr>
                <w:rFonts w:hAnsi="Arial"/>
                <w:sz w:val="21"/>
                <w:szCs w:val="21"/>
              </w:rPr>
              <w:t>Manuel veri kayıt sistemleri (anket formları, ziyaretçi</w:t>
            </w:r>
            <w:r w:rsidR="009D359D">
              <w:rPr>
                <w:rFonts w:hAnsi="Arial"/>
                <w:sz w:val="21"/>
                <w:szCs w:val="21"/>
              </w:rPr>
              <w:t xml:space="preserve"> </w:t>
            </w:r>
            <w:r>
              <w:rPr>
                <w:rFonts w:hAnsi="Arial"/>
                <w:sz w:val="21"/>
                <w:szCs w:val="21"/>
              </w:rPr>
              <w:t>giriş defteri)</w:t>
            </w:r>
          </w:p>
          <w:p w14:paraId="16E25EA4" w14:textId="77777777" w:rsidR="005425C0" w:rsidRDefault="00692935">
            <w:pPr>
              <w:numPr>
                <w:ilvl w:val="0"/>
                <w:numId w:val="4"/>
              </w:numPr>
              <w:spacing w:before="100" w:beforeAutospacing="1" w:after="100" w:afterAutospacing="1"/>
              <w:rPr>
                <w:rFonts w:hAnsi="Arial"/>
                <w:sz w:val="21"/>
                <w:szCs w:val="21"/>
              </w:rPr>
            </w:pPr>
            <w:r>
              <w:rPr>
                <w:rFonts w:hAnsi="Arial"/>
                <w:sz w:val="21"/>
                <w:szCs w:val="21"/>
              </w:rPr>
              <w:t>Yazılı, basılı, görsel ortamlar</w:t>
            </w:r>
          </w:p>
          <w:p w14:paraId="16E25EA5" w14:textId="77777777" w:rsidR="005425C0" w:rsidRDefault="00692935">
            <w:pPr>
              <w:spacing w:before="100" w:beforeAutospacing="1" w:after="100" w:afterAutospacing="1"/>
              <w:ind w:left="720"/>
              <w:rPr>
                <w:rFonts w:hAnsi="Arial"/>
                <w:sz w:val="21"/>
                <w:szCs w:val="21"/>
              </w:rPr>
            </w:pPr>
            <w:r>
              <w:rPr>
                <w:rFonts w:hAnsi="Arial"/>
                <w:sz w:val="21"/>
                <w:szCs w:val="21"/>
              </w:rPr>
              <w:t xml:space="preserve"> </w:t>
            </w:r>
          </w:p>
        </w:tc>
      </w:tr>
    </w:tbl>
    <w:p w14:paraId="16E25EA7" w14:textId="77777777" w:rsidR="005425C0" w:rsidRDefault="005425C0">
      <w:pPr>
        <w:rPr>
          <w:rFonts w:hAnsi="Arial"/>
          <w:b/>
          <w:sz w:val="21"/>
          <w:szCs w:val="21"/>
          <w:highlight w:val="yellow"/>
        </w:rPr>
      </w:pPr>
    </w:p>
    <w:p w14:paraId="16E25EA8" w14:textId="77777777" w:rsidR="005425C0" w:rsidRDefault="00692935">
      <w:pPr>
        <w:pStyle w:val="Balk1"/>
        <w:rPr>
          <w:rFonts w:hAnsi="Arial"/>
          <w:sz w:val="21"/>
          <w:szCs w:val="21"/>
        </w:rPr>
      </w:pPr>
      <w:bookmarkStart w:id="8" w:name="_Toc31893108"/>
      <w:r>
        <w:rPr>
          <w:rFonts w:hAnsi="Arial"/>
          <w:sz w:val="21"/>
          <w:szCs w:val="21"/>
        </w:rPr>
        <w:t>9. SORUMLULUK VE GÖREV DAĞILIMLARI</w:t>
      </w:r>
      <w:bookmarkEnd w:id="8"/>
    </w:p>
    <w:p w14:paraId="16E25EA9" w14:textId="7B6EEE12" w:rsidR="005425C0" w:rsidRDefault="00692935">
      <w:pPr>
        <w:rPr>
          <w:rFonts w:hAnsi="Arial"/>
          <w:sz w:val="21"/>
          <w:szCs w:val="21"/>
        </w:rPr>
      </w:pPr>
      <w:r>
        <w:rPr>
          <w:rFonts w:hAnsi="Arial"/>
          <w:sz w:val="21"/>
          <w:szCs w:val="21"/>
        </w:rPr>
        <w:t xml:space="preserve">Türkiye Taekwondo Federasyonu’nun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w:t>
      </w:r>
      <w:r>
        <w:rPr>
          <w:rFonts w:hAnsi="Arial"/>
          <w:sz w:val="21"/>
          <w:szCs w:val="21"/>
        </w:rPr>
        <w:lastRenderedPageBreak/>
        <w:t>yönelik teknik ve idari tedbirlerin alınması konularında sorumlu birimlere aktif olarak destek verir.</w:t>
      </w:r>
    </w:p>
    <w:p w14:paraId="16E25EAA" w14:textId="77777777" w:rsidR="005425C0" w:rsidRDefault="00692935">
      <w:pPr>
        <w:rPr>
          <w:rFonts w:hAnsi="Arial"/>
          <w:b/>
          <w:sz w:val="21"/>
          <w:szCs w:val="21"/>
        </w:rPr>
      </w:pPr>
      <w:r>
        <w:rPr>
          <w:rFonts w:hAnsi="Arial"/>
          <w:sz w:val="21"/>
          <w:szCs w:val="21"/>
        </w:rPr>
        <w:t>Kişisel verilerin saklama ve imha süreçlerinde görev alanların unvanları, birimleri ve görev tanımlarına aşağıdaki tabloda yer verilmiştir.</w:t>
      </w: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3167"/>
        <w:gridCol w:w="3317"/>
      </w:tblGrid>
      <w:tr w:rsidR="005425C0" w14:paraId="16E25EAE" w14:textId="77777777">
        <w:trPr>
          <w:trHeight w:val="146"/>
        </w:trPr>
        <w:tc>
          <w:tcPr>
            <w:tcW w:w="2993" w:type="dxa"/>
            <w:tcBorders>
              <w:top w:val="single" w:sz="4" w:space="0" w:color="000000"/>
              <w:left w:val="single" w:sz="4" w:space="0" w:color="000000"/>
              <w:bottom w:val="single" w:sz="4" w:space="0" w:color="000000"/>
              <w:right w:val="single" w:sz="4" w:space="0" w:color="000000"/>
              <w:tl2br w:val="nil"/>
              <w:tr2bl w:val="nil"/>
            </w:tcBorders>
          </w:tcPr>
          <w:p w14:paraId="16E25EAB" w14:textId="77777777" w:rsidR="005425C0" w:rsidRDefault="00692935">
            <w:pPr>
              <w:spacing w:before="100" w:beforeAutospacing="1" w:after="100" w:afterAutospacing="1"/>
              <w:rPr>
                <w:rFonts w:hAnsi="Arial"/>
                <w:b/>
                <w:sz w:val="21"/>
                <w:szCs w:val="21"/>
              </w:rPr>
            </w:pPr>
            <w:r>
              <w:rPr>
                <w:rFonts w:hAnsi="Arial"/>
                <w:b/>
                <w:sz w:val="21"/>
                <w:szCs w:val="21"/>
              </w:rPr>
              <w:t xml:space="preserve">UNVAN </w:t>
            </w:r>
          </w:p>
        </w:tc>
        <w:tc>
          <w:tcPr>
            <w:tcW w:w="3167" w:type="dxa"/>
            <w:tcBorders>
              <w:top w:val="single" w:sz="4" w:space="0" w:color="000000"/>
              <w:left w:val="single" w:sz="4" w:space="0" w:color="000000"/>
              <w:bottom w:val="single" w:sz="4" w:space="0" w:color="000000"/>
              <w:right w:val="single" w:sz="4" w:space="0" w:color="000000"/>
              <w:tl2br w:val="nil"/>
              <w:tr2bl w:val="nil"/>
            </w:tcBorders>
          </w:tcPr>
          <w:p w14:paraId="16E25EAC" w14:textId="77777777" w:rsidR="005425C0" w:rsidRDefault="00692935">
            <w:pPr>
              <w:spacing w:before="100" w:beforeAutospacing="1" w:after="100" w:afterAutospacing="1"/>
              <w:rPr>
                <w:rFonts w:hAnsi="Arial"/>
                <w:b/>
                <w:sz w:val="21"/>
                <w:szCs w:val="21"/>
              </w:rPr>
            </w:pPr>
            <w:r>
              <w:rPr>
                <w:rFonts w:hAnsi="Arial"/>
                <w:b/>
                <w:sz w:val="21"/>
                <w:szCs w:val="21"/>
              </w:rPr>
              <w:t>BİRİM</w:t>
            </w:r>
          </w:p>
        </w:tc>
        <w:tc>
          <w:tcPr>
            <w:tcW w:w="3317" w:type="dxa"/>
            <w:tcBorders>
              <w:top w:val="single" w:sz="4" w:space="0" w:color="000000"/>
              <w:left w:val="single" w:sz="4" w:space="0" w:color="000000"/>
              <w:bottom w:val="single" w:sz="4" w:space="0" w:color="000000"/>
              <w:right w:val="single" w:sz="4" w:space="0" w:color="000000"/>
              <w:tl2br w:val="nil"/>
              <w:tr2bl w:val="nil"/>
            </w:tcBorders>
          </w:tcPr>
          <w:p w14:paraId="16E25EAD" w14:textId="77777777" w:rsidR="005425C0" w:rsidRDefault="00692935">
            <w:pPr>
              <w:spacing w:before="100" w:beforeAutospacing="1" w:after="100" w:afterAutospacing="1"/>
              <w:rPr>
                <w:rFonts w:hAnsi="Arial"/>
                <w:b/>
                <w:sz w:val="21"/>
                <w:szCs w:val="21"/>
              </w:rPr>
            </w:pPr>
            <w:r>
              <w:rPr>
                <w:rFonts w:hAnsi="Arial"/>
                <w:b/>
                <w:sz w:val="21"/>
                <w:szCs w:val="21"/>
              </w:rPr>
              <w:t>GÖREV</w:t>
            </w:r>
          </w:p>
        </w:tc>
      </w:tr>
      <w:tr w:rsidR="005425C0" w14:paraId="16E25EB4" w14:textId="77777777">
        <w:trPr>
          <w:trHeight w:val="2156"/>
        </w:trPr>
        <w:tc>
          <w:tcPr>
            <w:tcW w:w="2993" w:type="dxa"/>
            <w:tcBorders>
              <w:top w:val="single" w:sz="4" w:space="0" w:color="000000"/>
              <w:left w:val="single" w:sz="4" w:space="0" w:color="000000"/>
              <w:bottom w:val="single" w:sz="4" w:space="0" w:color="000000"/>
              <w:right w:val="single" w:sz="4" w:space="0" w:color="000000"/>
              <w:tl2br w:val="nil"/>
              <w:tr2bl w:val="nil"/>
            </w:tcBorders>
          </w:tcPr>
          <w:p w14:paraId="16E25EAF" w14:textId="77777777" w:rsidR="005425C0" w:rsidRPr="006D2295" w:rsidRDefault="00692935">
            <w:pPr>
              <w:spacing w:before="100" w:beforeAutospacing="1" w:after="100" w:afterAutospacing="1"/>
              <w:rPr>
                <w:rFonts w:hAnsi="Arial"/>
                <w:b/>
                <w:sz w:val="21"/>
                <w:szCs w:val="21"/>
              </w:rPr>
            </w:pPr>
            <w:r w:rsidRPr="006D2295">
              <w:rPr>
                <w:rFonts w:hAnsi="Arial"/>
                <w:b/>
                <w:sz w:val="21"/>
                <w:szCs w:val="21"/>
              </w:rPr>
              <w:t>Veri sorumlusu</w:t>
            </w:r>
          </w:p>
          <w:p w14:paraId="16E25EB0" w14:textId="77777777" w:rsidR="005425C0" w:rsidRPr="006D2295" w:rsidRDefault="005425C0">
            <w:pPr>
              <w:spacing w:before="100" w:beforeAutospacing="1" w:after="100" w:afterAutospacing="1"/>
              <w:rPr>
                <w:rFonts w:hAnsi="Arial"/>
                <w:b/>
                <w:sz w:val="21"/>
                <w:szCs w:val="21"/>
              </w:rPr>
            </w:pPr>
          </w:p>
        </w:tc>
        <w:tc>
          <w:tcPr>
            <w:tcW w:w="3167" w:type="dxa"/>
            <w:tcBorders>
              <w:top w:val="single" w:sz="4" w:space="0" w:color="000000"/>
              <w:left w:val="single" w:sz="4" w:space="0" w:color="000000"/>
              <w:bottom w:val="single" w:sz="4" w:space="0" w:color="000000"/>
              <w:right w:val="single" w:sz="4" w:space="0" w:color="000000"/>
              <w:tl2br w:val="nil"/>
              <w:tr2bl w:val="nil"/>
            </w:tcBorders>
          </w:tcPr>
          <w:p w14:paraId="16E25EB1" w14:textId="30E0D803" w:rsidR="005425C0" w:rsidRPr="006D2295" w:rsidRDefault="0075737F">
            <w:pPr>
              <w:rPr>
                <w:rFonts w:hAnsi="Arial"/>
                <w:b/>
                <w:sz w:val="21"/>
                <w:szCs w:val="21"/>
              </w:rPr>
            </w:pPr>
            <w:r w:rsidRPr="006D2295">
              <w:rPr>
                <w:rFonts w:hAnsi="Arial"/>
                <w:b/>
                <w:sz w:val="21"/>
                <w:szCs w:val="21"/>
              </w:rPr>
              <w:t>IT Ekibi</w:t>
            </w:r>
          </w:p>
        </w:tc>
        <w:tc>
          <w:tcPr>
            <w:tcW w:w="3317" w:type="dxa"/>
            <w:tcBorders>
              <w:top w:val="single" w:sz="4" w:space="0" w:color="000000"/>
              <w:left w:val="single" w:sz="4" w:space="0" w:color="000000"/>
              <w:bottom w:val="single" w:sz="4" w:space="0" w:color="000000"/>
              <w:right w:val="single" w:sz="4" w:space="0" w:color="000000"/>
              <w:tl2br w:val="nil"/>
              <w:tr2bl w:val="nil"/>
            </w:tcBorders>
          </w:tcPr>
          <w:p w14:paraId="16E25EB2" w14:textId="77777777" w:rsidR="005425C0" w:rsidRDefault="00692935">
            <w:pPr>
              <w:spacing w:before="100" w:beforeAutospacing="1" w:after="100" w:afterAutospacing="1"/>
              <w:rPr>
                <w:rFonts w:hAnsi="Arial"/>
                <w:sz w:val="21"/>
                <w:szCs w:val="21"/>
              </w:rPr>
            </w:pPr>
            <w:r>
              <w:rPr>
                <w:rFonts w:hAnsi="Arial"/>
                <w:sz w:val="21"/>
                <w:szCs w:val="21"/>
              </w:rPr>
              <w:t xml:space="preserve">Çalışanların politikaya uygun hareket etmesinden sorumludur. </w:t>
            </w:r>
          </w:p>
          <w:p w14:paraId="16E25EB3" w14:textId="77777777" w:rsidR="005425C0" w:rsidRDefault="00692935">
            <w:pPr>
              <w:spacing w:before="100" w:beforeAutospacing="1" w:after="100" w:afterAutospacing="1"/>
              <w:rPr>
                <w:rFonts w:hAnsi="Arial"/>
                <w:sz w:val="21"/>
                <w:szCs w:val="21"/>
              </w:rPr>
            </w:pPr>
            <w:r>
              <w:rPr>
                <w:rFonts w:hAnsi="Arial"/>
                <w:sz w:val="21"/>
                <w:szCs w:val="21"/>
              </w:rPr>
              <w:t xml:space="preserve">Politika’nın hazırlanması, geliştirilmesi, yürütülmesi, ilgili ortamlarda yayınlanması ve güncellenmesinden sorumludur. </w:t>
            </w:r>
          </w:p>
        </w:tc>
      </w:tr>
      <w:tr w:rsidR="005425C0" w14:paraId="16E25EB8" w14:textId="77777777">
        <w:trPr>
          <w:trHeight w:val="891"/>
        </w:trPr>
        <w:tc>
          <w:tcPr>
            <w:tcW w:w="2993" w:type="dxa"/>
            <w:tcBorders>
              <w:top w:val="single" w:sz="4" w:space="0" w:color="000000"/>
              <w:left w:val="single" w:sz="4" w:space="0" w:color="000000"/>
              <w:bottom w:val="single" w:sz="4" w:space="0" w:color="000000"/>
              <w:right w:val="single" w:sz="4" w:space="0" w:color="000000"/>
              <w:tl2br w:val="nil"/>
              <w:tr2bl w:val="nil"/>
            </w:tcBorders>
          </w:tcPr>
          <w:p w14:paraId="16E25EB5" w14:textId="77777777" w:rsidR="005425C0" w:rsidRPr="006D2295" w:rsidRDefault="00692935">
            <w:pPr>
              <w:spacing w:before="100" w:beforeAutospacing="1" w:after="100" w:afterAutospacing="1"/>
              <w:rPr>
                <w:rFonts w:hAnsi="Arial"/>
                <w:b/>
                <w:sz w:val="21"/>
                <w:szCs w:val="21"/>
              </w:rPr>
            </w:pPr>
            <w:r w:rsidRPr="006D2295">
              <w:rPr>
                <w:rFonts w:hAnsi="Arial"/>
                <w:b/>
                <w:sz w:val="21"/>
                <w:szCs w:val="21"/>
              </w:rPr>
              <w:t>Yardımcı kişi</w:t>
            </w:r>
          </w:p>
        </w:tc>
        <w:tc>
          <w:tcPr>
            <w:tcW w:w="3167" w:type="dxa"/>
            <w:tcBorders>
              <w:top w:val="single" w:sz="4" w:space="0" w:color="000000"/>
              <w:left w:val="single" w:sz="4" w:space="0" w:color="000000"/>
              <w:bottom w:val="single" w:sz="4" w:space="0" w:color="000000"/>
              <w:right w:val="single" w:sz="4" w:space="0" w:color="000000"/>
              <w:tl2br w:val="nil"/>
              <w:tr2bl w:val="nil"/>
            </w:tcBorders>
          </w:tcPr>
          <w:p w14:paraId="16E25EB6" w14:textId="28C6D4A4" w:rsidR="005425C0" w:rsidRPr="006D2295" w:rsidRDefault="006D2295">
            <w:pPr>
              <w:spacing w:before="100" w:beforeAutospacing="1" w:after="100" w:afterAutospacing="1"/>
              <w:rPr>
                <w:rFonts w:hAnsi="Arial"/>
                <w:b/>
                <w:sz w:val="21"/>
                <w:szCs w:val="21"/>
              </w:rPr>
            </w:pPr>
            <w:r w:rsidRPr="006D2295">
              <w:rPr>
                <w:rFonts w:hAnsi="Arial"/>
                <w:b/>
                <w:sz w:val="21"/>
                <w:szCs w:val="21"/>
              </w:rPr>
              <w:t>IT Ekibi</w:t>
            </w:r>
          </w:p>
        </w:tc>
        <w:tc>
          <w:tcPr>
            <w:tcW w:w="3317" w:type="dxa"/>
            <w:tcBorders>
              <w:top w:val="single" w:sz="4" w:space="0" w:color="000000"/>
              <w:left w:val="single" w:sz="4" w:space="0" w:color="000000"/>
              <w:bottom w:val="single" w:sz="4" w:space="0" w:color="000000"/>
              <w:right w:val="single" w:sz="4" w:space="0" w:color="000000"/>
              <w:tl2br w:val="nil"/>
              <w:tr2bl w:val="nil"/>
            </w:tcBorders>
          </w:tcPr>
          <w:p w14:paraId="16E25EB7" w14:textId="77777777" w:rsidR="005425C0" w:rsidRDefault="00692935">
            <w:pPr>
              <w:spacing w:before="100" w:beforeAutospacing="1" w:after="100" w:afterAutospacing="1"/>
              <w:rPr>
                <w:rFonts w:hAnsi="Arial"/>
                <w:sz w:val="21"/>
                <w:szCs w:val="21"/>
              </w:rPr>
            </w:pPr>
            <w:r>
              <w:rPr>
                <w:rFonts w:hAnsi="Arial"/>
                <w:sz w:val="21"/>
                <w:szCs w:val="21"/>
              </w:rPr>
              <w:t xml:space="preserve">Politika’nın uygulanmasında ihtiyaç duyulan teknik çözümlerin sunulmasından sorumludur. </w:t>
            </w:r>
          </w:p>
        </w:tc>
      </w:tr>
      <w:tr w:rsidR="005425C0" w14:paraId="16E25EBC" w14:textId="77777777">
        <w:trPr>
          <w:trHeight w:val="1158"/>
        </w:trPr>
        <w:tc>
          <w:tcPr>
            <w:tcW w:w="2993" w:type="dxa"/>
            <w:tcBorders>
              <w:top w:val="single" w:sz="4" w:space="0" w:color="000000"/>
              <w:left w:val="single" w:sz="4" w:space="0" w:color="000000"/>
              <w:bottom w:val="single" w:sz="4" w:space="0" w:color="000000"/>
              <w:right w:val="single" w:sz="4" w:space="0" w:color="000000"/>
              <w:tl2br w:val="nil"/>
              <w:tr2bl w:val="nil"/>
            </w:tcBorders>
          </w:tcPr>
          <w:p w14:paraId="16E25EB9" w14:textId="77777777" w:rsidR="005425C0" w:rsidRPr="006D2295" w:rsidRDefault="00692935">
            <w:pPr>
              <w:spacing w:before="100" w:beforeAutospacing="1" w:after="100" w:afterAutospacing="1"/>
              <w:rPr>
                <w:rFonts w:hAnsi="Arial"/>
                <w:b/>
                <w:sz w:val="21"/>
                <w:szCs w:val="21"/>
              </w:rPr>
            </w:pPr>
            <w:r w:rsidRPr="006D2295">
              <w:rPr>
                <w:rFonts w:hAnsi="Arial"/>
                <w:b/>
                <w:sz w:val="21"/>
                <w:szCs w:val="21"/>
              </w:rPr>
              <w:t>İlgili kullanıcı</w:t>
            </w:r>
          </w:p>
        </w:tc>
        <w:tc>
          <w:tcPr>
            <w:tcW w:w="3167" w:type="dxa"/>
            <w:tcBorders>
              <w:top w:val="single" w:sz="4" w:space="0" w:color="000000"/>
              <w:left w:val="single" w:sz="4" w:space="0" w:color="000000"/>
              <w:bottom w:val="single" w:sz="4" w:space="0" w:color="000000"/>
              <w:right w:val="single" w:sz="4" w:space="0" w:color="000000"/>
              <w:tl2br w:val="nil"/>
              <w:tr2bl w:val="nil"/>
            </w:tcBorders>
          </w:tcPr>
          <w:p w14:paraId="16E25EBA" w14:textId="77777777" w:rsidR="005425C0" w:rsidRPr="006D2295" w:rsidRDefault="00692935">
            <w:pPr>
              <w:spacing w:before="100" w:beforeAutospacing="1" w:after="100" w:afterAutospacing="1"/>
              <w:rPr>
                <w:rFonts w:hAnsi="Arial"/>
                <w:b/>
                <w:sz w:val="21"/>
                <w:szCs w:val="21"/>
              </w:rPr>
            </w:pPr>
            <w:r w:rsidRPr="006D2295">
              <w:rPr>
                <w:rFonts w:hAnsi="Arial"/>
                <w:b/>
                <w:sz w:val="21"/>
                <w:szCs w:val="21"/>
              </w:rPr>
              <w:t>Departmanlar/ çalışanları</w:t>
            </w:r>
          </w:p>
        </w:tc>
        <w:tc>
          <w:tcPr>
            <w:tcW w:w="3317" w:type="dxa"/>
            <w:tcBorders>
              <w:top w:val="single" w:sz="4" w:space="0" w:color="000000"/>
              <w:left w:val="single" w:sz="4" w:space="0" w:color="000000"/>
              <w:bottom w:val="single" w:sz="4" w:space="0" w:color="000000"/>
              <w:right w:val="single" w:sz="4" w:space="0" w:color="000000"/>
              <w:tl2br w:val="nil"/>
              <w:tr2bl w:val="nil"/>
            </w:tcBorders>
          </w:tcPr>
          <w:p w14:paraId="16E25EBB" w14:textId="77777777" w:rsidR="005425C0" w:rsidRDefault="00692935">
            <w:pPr>
              <w:spacing w:before="100" w:beforeAutospacing="1" w:after="100" w:afterAutospacing="1"/>
              <w:rPr>
                <w:rFonts w:hAnsi="Arial"/>
                <w:sz w:val="21"/>
                <w:szCs w:val="21"/>
              </w:rPr>
            </w:pPr>
            <w:r>
              <w:rPr>
                <w:rFonts w:hAnsi="Arial"/>
                <w:sz w:val="21"/>
                <w:szCs w:val="21"/>
              </w:rPr>
              <w:t xml:space="preserve">Görevlerine uygun olarak Politikanın yürütülmesinden sorumludur. </w:t>
            </w:r>
          </w:p>
        </w:tc>
      </w:tr>
    </w:tbl>
    <w:p w14:paraId="16E25EBD" w14:textId="77777777" w:rsidR="005425C0" w:rsidRDefault="005425C0">
      <w:pPr>
        <w:rPr>
          <w:rFonts w:hAnsi="Arial"/>
          <w:b/>
          <w:sz w:val="21"/>
          <w:szCs w:val="21"/>
        </w:rPr>
      </w:pPr>
    </w:p>
    <w:p w14:paraId="16E25EBE" w14:textId="77777777" w:rsidR="005425C0" w:rsidRDefault="00692935">
      <w:pPr>
        <w:pStyle w:val="Balk1"/>
        <w:rPr>
          <w:rFonts w:hAnsi="Arial"/>
          <w:sz w:val="21"/>
          <w:szCs w:val="21"/>
        </w:rPr>
      </w:pPr>
      <w:bookmarkStart w:id="9" w:name="_Toc31893109"/>
      <w:r>
        <w:rPr>
          <w:rFonts w:hAnsi="Arial"/>
          <w:sz w:val="21"/>
          <w:szCs w:val="21"/>
        </w:rPr>
        <w:t>10. KİŞİSEL VERİLERİN SAKLAMA VE İMHA SÜRELERİ</w:t>
      </w:r>
      <w:bookmarkEnd w:id="9"/>
    </w:p>
    <w:p w14:paraId="16E25EBF" w14:textId="5BAE61F8" w:rsidR="005425C0" w:rsidRDefault="00692935">
      <w:pPr>
        <w:rPr>
          <w:rFonts w:hAnsi="Arial"/>
          <w:sz w:val="21"/>
          <w:szCs w:val="21"/>
        </w:rPr>
      </w:pPr>
      <w:r>
        <w:rPr>
          <w:rFonts w:hAnsi="Arial"/>
          <w:sz w:val="21"/>
          <w:szCs w:val="21"/>
        </w:rPr>
        <w:t xml:space="preserve">Türkiye Taekwondo Federasyonu tarafından, faaliyetleri kapsamında işlenmekte olan kişisel verilerle ilgili olarak; Süreçlere bağlı olarak gerçekleştirilen faaliyetler kapsamındaki tüm kişisel verilerle ilgili kişisel veri bazında saklama süreleri Kişisel Veri İşleme Envanterinde, süreç bazında saklama süreleri ise Kişisel Veri Saklama ve İmha Politikasında yer alır. </w:t>
      </w:r>
    </w:p>
    <w:p w14:paraId="16E25EC0" w14:textId="77777777" w:rsidR="005425C0" w:rsidRDefault="00692935">
      <w:pPr>
        <w:rPr>
          <w:rFonts w:hAnsi="Arial"/>
          <w:sz w:val="21"/>
          <w:szCs w:val="21"/>
        </w:rPr>
      </w:pPr>
      <w:r>
        <w:rPr>
          <w:rFonts w:hAnsi="Arial"/>
          <w:sz w:val="21"/>
          <w:szCs w:val="21"/>
          <w:shd w:val="clear" w:color="auto" w:fill="FFFFFF"/>
        </w:rPr>
        <w:t xml:space="preserve">Kişisel verilerin silinmesi, yok edilmesi ve anonim hale getirilmesiyle ilgili yapılan bütün işlemler kayıt altına alınır ve söz konusu kayıtlar, diğer hukuki yükümlülükler hariç olmak üzere en az </w:t>
      </w:r>
      <w:r w:rsidRPr="00B81316">
        <w:rPr>
          <w:rFonts w:hAnsi="Arial"/>
          <w:sz w:val="21"/>
          <w:szCs w:val="21"/>
          <w:shd w:val="clear" w:color="auto" w:fill="FFFFFF"/>
        </w:rPr>
        <w:t>3 yıl</w:t>
      </w:r>
      <w:r>
        <w:rPr>
          <w:rFonts w:hAnsi="Arial"/>
          <w:sz w:val="21"/>
          <w:szCs w:val="21"/>
          <w:shd w:val="clear" w:color="auto" w:fill="FFFFFF"/>
        </w:rPr>
        <w:t xml:space="preserve"> süreyle saklanır.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2905"/>
        <w:gridCol w:w="2786"/>
      </w:tblGrid>
      <w:tr w:rsidR="005425C0" w14:paraId="16E25EC4"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1" w14:textId="77777777" w:rsidR="005425C0" w:rsidRDefault="00692935">
            <w:pPr>
              <w:spacing w:after="0" w:line="240" w:lineRule="auto"/>
              <w:jc w:val="center"/>
              <w:rPr>
                <w:rFonts w:eastAsia="Times New Roman" w:hAnsi="Arial"/>
                <w:b/>
                <w:sz w:val="21"/>
                <w:szCs w:val="21"/>
              </w:rPr>
            </w:pPr>
            <w:r>
              <w:rPr>
                <w:rFonts w:eastAsia="Times New Roman" w:hAnsi="Arial"/>
                <w:b/>
                <w:sz w:val="21"/>
                <w:szCs w:val="21"/>
              </w:rPr>
              <w:t>SÜREÇ</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2" w14:textId="77777777" w:rsidR="005425C0" w:rsidRDefault="00692935">
            <w:pPr>
              <w:spacing w:after="0" w:line="240" w:lineRule="auto"/>
              <w:jc w:val="center"/>
              <w:rPr>
                <w:rFonts w:eastAsia="Times New Roman" w:hAnsi="Arial"/>
                <w:b/>
                <w:sz w:val="21"/>
                <w:szCs w:val="21"/>
              </w:rPr>
            </w:pPr>
            <w:r>
              <w:rPr>
                <w:rFonts w:eastAsia="Times New Roman" w:hAnsi="Arial"/>
                <w:b/>
                <w:sz w:val="21"/>
                <w:szCs w:val="21"/>
              </w:rPr>
              <w:t>SAKLAMA SÜRESİ</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3" w14:textId="77777777" w:rsidR="005425C0" w:rsidRDefault="00692935">
            <w:pPr>
              <w:spacing w:after="0" w:line="240" w:lineRule="auto"/>
              <w:jc w:val="center"/>
              <w:rPr>
                <w:rFonts w:eastAsia="Times New Roman" w:hAnsi="Arial"/>
                <w:b/>
                <w:sz w:val="21"/>
                <w:szCs w:val="21"/>
              </w:rPr>
            </w:pPr>
            <w:r>
              <w:rPr>
                <w:rFonts w:eastAsia="Times New Roman" w:hAnsi="Arial"/>
                <w:b/>
                <w:sz w:val="21"/>
                <w:szCs w:val="21"/>
              </w:rPr>
              <w:t>İMHA SÜRESİ</w:t>
            </w:r>
          </w:p>
        </w:tc>
      </w:tr>
      <w:tr w:rsidR="005425C0" w14:paraId="16E25ECD"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5" w14:textId="77777777" w:rsidR="005425C0" w:rsidRDefault="00692935">
            <w:pPr>
              <w:spacing w:after="0" w:line="240" w:lineRule="auto"/>
              <w:rPr>
                <w:rFonts w:eastAsia="Times New Roman" w:hAnsi="Arial"/>
                <w:sz w:val="21"/>
                <w:szCs w:val="21"/>
              </w:rPr>
            </w:pPr>
            <w:r>
              <w:rPr>
                <w:rFonts w:eastAsia="Times New Roman" w:hAnsi="Arial"/>
                <w:sz w:val="21"/>
                <w:szCs w:val="21"/>
              </w:rPr>
              <w:t>Çalışan adaylarına ait kişisel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6" w14:textId="77777777" w:rsidR="005425C0" w:rsidRDefault="00692935">
            <w:pPr>
              <w:spacing w:after="0" w:line="240" w:lineRule="auto"/>
              <w:rPr>
                <w:rFonts w:eastAsia="Times New Roman" w:hAnsi="Arial"/>
                <w:sz w:val="21"/>
                <w:szCs w:val="21"/>
              </w:rPr>
            </w:pPr>
            <w:r>
              <w:rPr>
                <w:rFonts w:eastAsia="Times New Roman" w:hAnsi="Arial"/>
                <w:sz w:val="21"/>
                <w:szCs w:val="21"/>
              </w:rPr>
              <w:t>İşe başvurudan itibaren 1 yıl</w:t>
            </w:r>
          </w:p>
        </w:tc>
        <w:tc>
          <w:tcPr>
            <w:tcW w:w="3182" w:type="dxa"/>
            <w:vMerge w:val="restart"/>
            <w:tcBorders>
              <w:top w:val="single" w:sz="4" w:space="0" w:color="000000"/>
              <w:left w:val="single" w:sz="4" w:space="0" w:color="000000"/>
              <w:bottom w:val="single" w:sz="4" w:space="0" w:color="000000"/>
              <w:right w:val="single" w:sz="4" w:space="0" w:color="000000"/>
              <w:tl2br w:val="nil"/>
              <w:tr2bl w:val="nil"/>
            </w:tcBorders>
          </w:tcPr>
          <w:p w14:paraId="16E25EC7" w14:textId="77777777" w:rsidR="005425C0" w:rsidRDefault="005425C0">
            <w:pPr>
              <w:spacing w:after="0" w:line="240" w:lineRule="auto"/>
              <w:rPr>
                <w:rFonts w:eastAsia="Times New Roman" w:hAnsi="Arial"/>
                <w:sz w:val="21"/>
                <w:szCs w:val="21"/>
              </w:rPr>
            </w:pPr>
          </w:p>
          <w:p w14:paraId="16E25EC8" w14:textId="77777777" w:rsidR="005425C0" w:rsidRDefault="005425C0">
            <w:pPr>
              <w:spacing w:after="0" w:line="240" w:lineRule="auto"/>
              <w:rPr>
                <w:rFonts w:eastAsia="Times New Roman" w:hAnsi="Arial"/>
                <w:sz w:val="21"/>
                <w:szCs w:val="21"/>
              </w:rPr>
            </w:pPr>
          </w:p>
          <w:p w14:paraId="16E25EC9" w14:textId="77777777" w:rsidR="005425C0" w:rsidRDefault="005425C0">
            <w:pPr>
              <w:spacing w:after="0" w:line="240" w:lineRule="auto"/>
              <w:rPr>
                <w:rFonts w:eastAsia="Times New Roman" w:hAnsi="Arial"/>
                <w:sz w:val="21"/>
                <w:szCs w:val="21"/>
              </w:rPr>
            </w:pPr>
          </w:p>
          <w:p w14:paraId="16E25ECA" w14:textId="77777777" w:rsidR="005425C0" w:rsidRDefault="005425C0">
            <w:pPr>
              <w:spacing w:after="0" w:line="240" w:lineRule="auto"/>
              <w:rPr>
                <w:rFonts w:eastAsia="Times New Roman" w:hAnsi="Arial"/>
                <w:sz w:val="21"/>
                <w:szCs w:val="21"/>
              </w:rPr>
            </w:pPr>
          </w:p>
          <w:p w14:paraId="16E25ECB" w14:textId="77777777" w:rsidR="005425C0" w:rsidRDefault="005425C0">
            <w:pPr>
              <w:spacing w:after="0" w:line="240" w:lineRule="auto"/>
              <w:rPr>
                <w:rFonts w:eastAsia="Times New Roman" w:hAnsi="Arial"/>
                <w:sz w:val="21"/>
                <w:szCs w:val="21"/>
              </w:rPr>
            </w:pPr>
          </w:p>
          <w:p w14:paraId="16E25ECC" w14:textId="77777777" w:rsidR="005425C0" w:rsidRDefault="00692935">
            <w:pPr>
              <w:spacing w:after="0" w:line="240" w:lineRule="auto"/>
              <w:rPr>
                <w:rFonts w:eastAsia="Times New Roman" w:hAnsi="Arial"/>
                <w:b/>
                <w:sz w:val="21"/>
                <w:szCs w:val="21"/>
              </w:rPr>
            </w:pPr>
            <w:r>
              <w:rPr>
                <w:rFonts w:eastAsia="Times New Roman" w:hAnsi="Arial"/>
                <w:sz w:val="21"/>
                <w:szCs w:val="21"/>
              </w:rPr>
              <w:t>Saklama süresinin bitimini takip eden ilk periyodik imha süresinde</w:t>
            </w:r>
          </w:p>
        </w:tc>
      </w:tr>
      <w:tr w:rsidR="005425C0" w14:paraId="16E25ED1"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E" w14:textId="77777777" w:rsidR="005425C0" w:rsidRDefault="00692935">
            <w:pPr>
              <w:spacing w:after="0" w:line="240" w:lineRule="auto"/>
              <w:rPr>
                <w:rFonts w:eastAsia="Times New Roman" w:hAnsi="Arial"/>
                <w:sz w:val="21"/>
                <w:szCs w:val="21"/>
              </w:rPr>
            </w:pPr>
            <w:r>
              <w:rPr>
                <w:rFonts w:eastAsia="Times New Roman" w:hAnsi="Arial"/>
                <w:sz w:val="21"/>
                <w:szCs w:val="21"/>
                <w:shd w:val="clear" w:color="auto" w:fill="FFFFFF"/>
              </w:rPr>
              <w:t>İş Kanunu kapsamında saklanılan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CF" w14:textId="77777777" w:rsidR="005425C0" w:rsidRDefault="00692935">
            <w:pPr>
              <w:spacing w:after="0" w:line="240" w:lineRule="auto"/>
              <w:rPr>
                <w:rFonts w:eastAsia="Times New Roman" w:hAnsi="Arial"/>
                <w:sz w:val="21"/>
                <w:szCs w:val="21"/>
              </w:rPr>
            </w:pPr>
            <w:r>
              <w:rPr>
                <w:rFonts w:eastAsia="Times New Roman" w:hAnsi="Arial"/>
                <w:sz w:val="21"/>
                <w:szCs w:val="21"/>
              </w:rPr>
              <w:t>İş ilişkisinin sona ermesinden itibaren 10 yıl</w:t>
            </w:r>
          </w:p>
        </w:tc>
        <w:tc>
          <w:tcPr>
            <w:tcW w:w="3182" w:type="dxa"/>
            <w:vMerge/>
            <w:tcBorders>
              <w:top w:val="single" w:sz="4" w:space="0" w:color="000000"/>
              <w:left w:val="single" w:sz="4" w:space="0" w:color="000000"/>
              <w:bottom w:val="single" w:sz="4" w:space="0" w:color="000000"/>
              <w:right w:val="single" w:sz="4" w:space="0" w:color="000000"/>
              <w:tl2br w:val="nil"/>
              <w:tr2bl w:val="nil"/>
            </w:tcBorders>
          </w:tcPr>
          <w:p w14:paraId="16E25ED0" w14:textId="77777777" w:rsidR="005425C0" w:rsidRDefault="005425C0">
            <w:pPr>
              <w:spacing w:after="0" w:line="240" w:lineRule="auto"/>
              <w:rPr>
                <w:rFonts w:eastAsia="Times New Roman" w:hAnsi="Arial"/>
                <w:b/>
                <w:sz w:val="21"/>
                <w:szCs w:val="21"/>
              </w:rPr>
            </w:pPr>
          </w:p>
        </w:tc>
      </w:tr>
      <w:tr w:rsidR="005425C0" w14:paraId="16E25ED5"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2" w14:textId="77777777" w:rsidR="005425C0" w:rsidRDefault="00692935">
            <w:pPr>
              <w:spacing w:after="0" w:line="240" w:lineRule="auto"/>
              <w:rPr>
                <w:rFonts w:eastAsia="Times New Roman" w:hAnsi="Arial"/>
                <w:sz w:val="21"/>
                <w:szCs w:val="21"/>
              </w:rPr>
            </w:pPr>
            <w:r>
              <w:rPr>
                <w:rFonts w:eastAsia="Times New Roman" w:hAnsi="Arial"/>
                <w:sz w:val="21"/>
                <w:szCs w:val="21"/>
                <w:shd w:val="clear" w:color="auto" w:fill="FFFFFF"/>
              </w:rPr>
              <w:t>İş sağlığı ve güvenliği mevzuatı kapsamında toplanan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3" w14:textId="77777777" w:rsidR="005425C0" w:rsidRDefault="00692935">
            <w:pPr>
              <w:spacing w:after="0" w:line="240" w:lineRule="auto"/>
              <w:rPr>
                <w:rFonts w:eastAsia="Times New Roman" w:hAnsi="Arial"/>
                <w:sz w:val="21"/>
                <w:szCs w:val="21"/>
              </w:rPr>
            </w:pPr>
            <w:r>
              <w:rPr>
                <w:rFonts w:eastAsia="Times New Roman" w:hAnsi="Arial"/>
                <w:sz w:val="21"/>
                <w:szCs w:val="21"/>
              </w:rPr>
              <w:t>İş ilişkisinin sona ermesinden itibaren 15 yıl</w:t>
            </w:r>
          </w:p>
        </w:tc>
        <w:tc>
          <w:tcPr>
            <w:tcW w:w="3182" w:type="dxa"/>
            <w:vMerge/>
            <w:tcBorders>
              <w:top w:val="single" w:sz="4" w:space="0" w:color="000000"/>
              <w:left w:val="single" w:sz="4" w:space="0" w:color="000000"/>
              <w:bottom w:val="single" w:sz="4" w:space="0" w:color="000000"/>
              <w:right w:val="single" w:sz="4" w:space="0" w:color="000000"/>
              <w:tl2br w:val="nil"/>
              <w:tr2bl w:val="nil"/>
            </w:tcBorders>
          </w:tcPr>
          <w:p w14:paraId="16E25ED4" w14:textId="77777777" w:rsidR="005425C0" w:rsidRDefault="005425C0">
            <w:pPr>
              <w:spacing w:after="0" w:line="240" w:lineRule="auto"/>
              <w:rPr>
                <w:rFonts w:eastAsia="Times New Roman" w:hAnsi="Arial"/>
                <w:b/>
                <w:sz w:val="21"/>
                <w:szCs w:val="21"/>
              </w:rPr>
            </w:pPr>
          </w:p>
        </w:tc>
      </w:tr>
      <w:tr w:rsidR="005425C0" w14:paraId="16E25ED9"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6" w14:textId="77777777" w:rsidR="005425C0" w:rsidRDefault="00692935">
            <w:pPr>
              <w:spacing w:after="0" w:line="240" w:lineRule="auto"/>
              <w:rPr>
                <w:rFonts w:eastAsia="Times New Roman" w:hAnsi="Arial"/>
                <w:sz w:val="21"/>
                <w:szCs w:val="21"/>
              </w:rPr>
            </w:pPr>
            <w:r>
              <w:rPr>
                <w:rFonts w:eastAsia="Times New Roman" w:hAnsi="Arial"/>
                <w:sz w:val="21"/>
                <w:szCs w:val="21"/>
                <w:shd w:val="clear" w:color="auto" w:fill="FFFFFF"/>
              </w:rPr>
              <w:t>SGK mevzuatı kapsamında tutulan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7" w14:textId="77777777" w:rsidR="005425C0" w:rsidRDefault="00692935">
            <w:pPr>
              <w:spacing w:after="0" w:line="240" w:lineRule="auto"/>
              <w:rPr>
                <w:rFonts w:eastAsia="Times New Roman" w:hAnsi="Arial"/>
                <w:sz w:val="21"/>
                <w:szCs w:val="21"/>
              </w:rPr>
            </w:pPr>
            <w:r>
              <w:rPr>
                <w:rFonts w:eastAsia="Times New Roman" w:hAnsi="Arial"/>
                <w:sz w:val="21"/>
                <w:szCs w:val="21"/>
              </w:rPr>
              <w:t>İş ilişkisinin sona ermesinden itibaren 10 yıl</w:t>
            </w:r>
          </w:p>
        </w:tc>
        <w:tc>
          <w:tcPr>
            <w:tcW w:w="3182" w:type="dxa"/>
            <w:vMerge/>
            <w:tcBorders>
              <w:top w:val="single" w:sz="4" w:space="0" w:color="000000"/>
              <w:left w:val="single" w:sz="4" w:space="0" w:color="000000"/>
              <w:bottom w:val="single" w:sz="4" w:space="0" w:color="000000"/>
              <w:right w:val="single" w:sz="4" w:space="0" w:color="000000"/>
              <w:tl2br w:val="nil"/>
              <w:tr2bl w:val="nil"/>
            </w:tcBorders>
          </w:tcPr>
          <w:p w14:paraId="16E25ED8" w14:textId="77777777" w:rsidR="005425C0" w:rsidRDefault="005425C0">
            <w:pPr>
              <w:spacing w:after="0" w:line="240" w:lineRule="auto"/>
              <w:rPr>
                <w:rFonts w:eastAsia="Times New Roman" w:hAnsi="Arial"/>
                <w:b/>
                <w:sz w:val="21"/>
                <w:szCs w:val="21"/>
              </w:rPr>
            </w:pPr>
          </w:p>
        </w:tc>
      </w:tr>
      <w:tr w:rsidR="005425C0" w14:paraId="16E25EDD"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A" w14:textId="77777777" w:rsidR="005425C0" w:rsidRDefault="00692935">
            <w:pPr>
              <w:spacing w:after="0" w:line="240" w:lineRule="auto"/>
              <w:rPr>
                <w:rFonts w:eastAsia="Times New Roman" w:hAnsi="Arial"/>
                <w:sz w:val="21"/>
                <w:szCs w:val="21"/>
              </w:rPr>
            </w:pPr>
            <w:r>
              <w:rPr>
                <w:rFonts w:eastAsia="Times New Roman" w:hAnsi="Arial"/>
                <w:sz w:val="21"/>
                <w:szCs w:val="21"/>
                <w:shd w:val="clear" w:color="auto" w:fill="FFFFFF"/>
              </w:rPr>
              <w:t>Sair ilgili mevzuat gereği toplanan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B" w14:textId="77777777" w:rsidR="005425C0" w:rsidRDefault="00692935">
            <w:pPr>
              <w:spacing w:after="0" w:line="240" w:lineRule="auto"/>
              <w:rPr>
                <w:rFonts w:eastAsia="Times New Roman" w:hAnsi="Arial"/>
                <w:sz w:val="21"/>
                <w:szCs w:val="21"/>
              </w:rPr>
            </w:pPr>
            <w:r>
              <w:rPr>
                <w:rFonts w:eastAsia="Times New Roman" w:hAnsi="Arial"/>
                <w:sz w:val="21"/>
                <w:szCs w:val="21"/>
              </w:rPr>
              <w:t>İlgili mevzuatta öngörülen süre kadar</w:t>
            </w:r>
          </w:p>
        </w:tc>
        <w:tc>
          <w:tcPr>
            <w:tcW w:w="3182" w:type="dxa"/>
            <w:vMerge/>
            <w:tcBorders>
              <w:top w:val="single" w:sz="4" w:space="0" w:color="000000"/>
              <w:left w:val="single" w:sz="4" w:space="0" w:color="000000"/>
              <w:bottom w:val="single" w:sz="4" w:space="0" w:color="000000"/>
              <w:right w:val="single" w:sz="4" w:space="0" w:color="000000"/>
              <w:tl2br w:val="nil"/>
              <w:tr2bl w:val="nil"/>
            </w:tcBorders>
          </w:tcPr>
          <w:p w14:paraId="16E25EDC" w14:textId="77777777" w:rsidR="005425C0" w:rsidRDefault="005425C0">
            <w:pPr>
              <w:spacing w:after="0" w:line="240" w:lineRule="auto"/>
              <w:rPr>
                <w:rFonts w:eastAsia="Times New Roman" w:hAnsi="Arial"/>
                <w:b/>
                <w:sz w:val="21"/>
                <w:szCs w:val="21"/>
              </w:rPr>
            </w:pPr>
          </w:p>
        </w:tc>
      </w:tr>
      <w:tr w:rsidR="005425C0" w14:paraId="16E25EE1"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E" w14:textId="77777777" w:rsidR="005425C0" w:rsidRDefault="00692935">
            <w:pPr>
              <w:spacing w:after="0" w:line="240" w:lineRule="auto"/>
              <w:rPr>
                <w:rFonts w:eastAsia="Times New Roman" w:hAnsi="Arial"/>
                <w:sz w:val="21"/>
                <w:szCs w:val="21"/>
              </w:rPr>
            </w:pPr>
            <w:r>
              <w:rPr>
                <w:rFonts w:eastAsia="Times New Roman" w:hAnsi="Arial"/>
                <w:sz w:val="21"/>
                <w:szCs w:val="21"/>
              </w:rPr>
              <w:t>İlgili kişisel verinin Türk Ceza Kanunu veya sair ceza hükmü getiren mevzuat kapsamında bir suça konu olması halinde</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DF" w14:textId="77777777" w:rsidR="005425C0" w:rsidRDefault="00692935">
            <w:pPr>
              <w:spacing w:after="0" w:line="240" w:lineRule="auto"/>
              <w:rPr>
                <w:rFonts w:eastAsia="Times New Roman" w:hAnsi="Arial"/>
                <w:sz w:val="21"/>
                <w:szCs w:val="21"/>
              </w:rPr>
            </w:pPr>
            <w:r>
              <w:rPr>
                <w:rFonts w:eastAsia="Times New Roman" w:hAnsi="Arial"/>
                <w:sz w:val="21"/>
                <w:szCs w:val="21"/>
                <w:shd w:val="clear" w:color="auto" w:fill="FFFFFF"/>
              </w:rPr>
              <w:t>Dava zaman aşımı müddetince</w:t>
            </w:r>
          </w:p>
        </w:tc>
        <w:tc>
          <w:tcPr>
            <w:tcW w:w="3182" w:type="dxa"/>
            <w:vMerge/>
            <w:tcBorders>
              <w:top w:val="single" w:sz="4" w:space="0" w:color="000000"/>
              <w:left w:val="single" w:sz="4" w:space="0" w:color="000000"/>
              <w:bottom w:val="single" w:sz="4" w:space="0" w:color="000000"/>
              <w:right w:val="single" w:sz="4" w:space="0" w:color="000000"/>
              <w:tl2br w:val="nil"/>
              <w:tr2bl w:val="nil"/>
            </w:tcBorders>
          </w:tcPr>
          <w:p w14:paraId="16E25EE0" w14:textId="77777777" w:rsidR="005425C0" w:rsidRDefault="005425C0">
            <w:pPr>
              <w:spacing w:after="0" w:line="240" w:lineRule="auto"/>
              <w:rPr>
                <w:rFonts w:eastAsia="Times New Roman" w:hAnsi="Arial"/>
                <w:b/>
                <w:sz w:val="21"/>
                <w:szCs w:val="21"/>
              </w:rPr>
            </w:pPr>
          </w:p>
        </w:tc>
      </w:tr>
      <w:tr w:rsidR="005425C0" w14:paraId="16E25EEC"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E2" w14:textId="77777777" w:rsidR="005425C0" w:rsidRDefault="00692935">
            <w:pPr>
              <w:spacing w:after="0" w:line="240" w:lineRule="auto"/>
              <w:rPr>
                <w:rFonts w:eastAsia="Times New Roman" w:hAnsi="Arial"/>
                <w:b/>
                <w:sz w:val="21"/>
                <w:szCs w:val="21"/>
              </w:rPr>
            </w:pPr>
            <w:r>
              <w:rPr>
                <w:rFonts w:eastAsia="Times New Roman" w:hAnsi="Arial"/>
                <w:sz w:val="21"/>
                <w:szCs w:val="21"/>
              </w:rPr>
              <w:t>Müşterilere ait kişisel veriler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E3" w14:textId="77777777" w:rsidR="005425C0" w:rsidRDefault="00692935">
            <w:pPr>
              <w:spacing w:after="0" w:line="240" w:lineRule="auto"/>
              <w:rPr>
                <w:rFonts w:eastAsia="Times New Roman" w:hAnsi="Arial"/>
                <w:b/>
                <w:sz w:val="21"/>
                <w:szCs w:val="21"/>
              </w:rPr>
            </w:pPr>
            <w:r>
              <w:rPr>
                <w:rFonts w:eastAsia="Times New Roman" w:hAnsi="Arial"/>
                <w:sz w:val="21"/>
                <w:szCs w:val="21"/>
              </w:rPr>
              <w:t xml:space="preserve">TTK m. 82'e göre ticari </w:t>
            </w:r>
            <w:r>
              <w:rPr>
                <w:rFonts w:eastAsia="Times New Roman" w:hAnsi="Arial"/>
                <w:sz w:val="21"/>
                <w:szCs w:val="21"/>
              </w:rPr>
              <w:lastRenderedPageBreak/>
              <w:t>defterlere dayanak teşkil eden faturaların düzenlenmesine esas bilgiler anılan kanun maddesi gereği 10 yıl, bunun dışındaki Müşteri Bilgileri ise azami 3 yıl</w:t>
            </w:r>
          </w:p>
        </w:tc>
        <w:tc>
          <w:tcPr>
            <w:tcW w:w="3182" w:type="dxa"/>
            <w:vMerge w:val="restart"/>
            <w:tcBorders>
              <w:top w:val="nil"/>
              <w:left w:val="single" w:sz="4" w:space="0" w:color="000000"/>
              <w:bottom w:val="single" w:sz="4" w:space="0" w:color="000000"/>
              <w:right w:val="single" w:sz="4" w:space="0" w:color="000000"/>
              <w:tl2br w:val="nil"/>
              <w:tr2bl w:val="nil"/>
            </w:tcBorders>
          </w:tcPr>
          <w:p w14:paraId="16E25EE4" w14:textId="77777777" w:rsidR="005425C0" w:rsidRDefault="005425C0">
            <w:pPr>
              <w:spacing w:after="0" w:line="240" w:lineRule="auto"/>
              <w:rPr>
                <w:rFonts w:eastAsia="Times New Roman" w:hAnsi="Arial"/>
                <w:b/>
                <w:sz w:val="21"/>
                <w:szCs w:val="21"/>
              </w:rPr>
            </w:pPr>
          </w:p>
          <w:p w14:paraId="16E25EE5" w14:textId="77777777" w:rsidR="005425C0" w:rsidRDefault="005425C0">
            <w:pPr>
              <w:spacing w:after="0" w:line="240" w:lineRule="auto"/>
              <w:rPr>
                <w:rFonts w:eastAsia="Times New Roman" w:hAnsi="Arial"/>
                <w:b/>
                <w:sz w:val="21"/>
                <w:szCs w:val="21"/>
              </w:rPr>
            </w:pPr>
          </w:p>
          <w:p w14:paraId="16E25EE6" w14:textId="77777777" w:rsidR="005425C0" w:rsidRDefault="005425C0">
            <w:pPr>
              <w:spacing w:after="0" w:line="240" w:lineRule="auto"/>
              <w:rPr>
                <w:rFonts w:eastAsia="Times New Roman" w:hAnsi="Arial"/>
                <w:b/>
                <w:sz w:val="21"/>
                <w:szCs w:val="21"/>
              </w:rPr>
            </w:pPr>
          </w:p>
          <w:p w14:paraId="16E25EE7" w14:textId="77777777" w:rsidR="005425C0" w:rsidRDefault="005425C0">
            <w:pPr>
              <w:spacing w:after="0" w:line="240" w:lineRule="auto"/>
              <w:rPr>
                <w:rFonts w:eastAsia="Times New Roman" w:hAnsi="Arial"/>
                <w:b/>
                <w:sz w:val="21"/>
                <w:szCs w:val="21"/>
              </w:rPr>
            </w:pPr>
          </w:p>
          <w:p w14:paraId="16E25EE8" w14:textId="77777777" w:rsidR="005425C0" w:rsidRDefault="005425C0">
            <w:pPr>
              <w:spacing w:after="0" w:line="240" w:lineRule="auto"/>
              <w:rPr>
                <w:rFonts w:eastAsia="Times New Roman" w:hAnsi="Arial"/>
                <w:b/>
                <w:sz w:val="21"/>
                <w:szCs w:val="21"/>
              </w:rPr>
            </w:pPr>
          </w:p>
          <w:p w14:paraId="16E25EE9" w14:textId="77777777" w:rsidR="005425C0" w:rsidRDefault="005425C0">
            <w:pPr>
              <w:spacing w:after="0" w:line="240" w:lineRule="auto"/>
              <w:rPr>
                <w:rFonts w:eastAsia="Times New Roman" w:hAnsi="Arial"/>
                <w:b/>
                <w:sz w:val="21"/>
                <w:szCs w:val="21"/>
              </w:rPr>
            </w:pPr>
          </w:p>
          <w:p w14:paraId="16E25EEA" w14:textId="77777777" w:rsidR="005425C0" w:rsidRDefault="005425C0">
            <w:pPr>
              <w:spacing w:after="0" w:line="240" w:lineRule="auto"/>
              <w:rPr>
                <w:rFonts w:eastAsia="Times New Roman" w:hAnsi="Arial"/>
                <w:b/>
                <w:sz w:val="21"/>
                <w:szCs w:val="21"/>
              </w:rPr>
            </w:pPr>
          </w:p>
          <w:p w14:paraId="16E25EEB" w14:textId="77777777" w:rsidR="005425C0" w:rsidRDefault="00692935">
            <w:pPr>
              <w:spacing w:after="0" w:line="240" w:lineRule="auto"/>
              <w:rPr>
                <w:rFonts w:eastAsia="Times New Roman" w:hAnsi="Arial"/>
                <w:b/>
                <w:sz w:val="21"/>
                <w:szCs w:val="21"/>
              </w:rPr>
            </w:pPr>
            <w:r>
              <w:rPr>
                <w:rFonts w:eastAsia="Times New Roman" w:hAnsi="Arial"/>
                <w:sz w:val="21"/>
                <w:szCs w:val="21"/>
              </w:rPr>
              <w:t>Saklama süresinin bitimini takip eden ilk periyodik imha süresinde</w:t>
            </w:r>
          </w:p>
        </w:tc>
      </w:tr>
      <w:tr w:rsidR="005425C0" w14:paraId="16E25EF0"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ED" w14:textId="77777777" w:rsidR="005425C0" w:rsidRDefault="00692935">
            <w:pPr>
              <w:spacing w:after="0" w:line="240" w:lineRule="auto"/>
              <w:rPr>
                <w:rFonts w:eastAsia="Times New Roman" w:hAnsi="Arial"/>
                <w:b/>
                <w:sz w:val="21"/>
                <w:szCs w:val="21"/>
              </w:rPr>
            </w:pPr>
            <w:r>
              <w:rPr>
                <w:rFonts w:eastAsia="Times New Roman" w:hAnsi="Arial"/>
                <w:sz w:val="21"/>
                <w:szCs w:val="21"/>
              </w:rPr>
              <w:lastRenderedPageBreak/>
              <w:t>Log kayıtları</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EE" w14:textId="77777777" w:rsidR="005425C0" w:rsidRDefault="00692935">
            <w:pPr>
              <w:spacing w:after="0" w:line="240" w:lineRule="auto"/>
              <w:rPr>
                <w:rFonts w:eastAsia="Times New Roman" w:hAnsi="Arial"/>
                <w:b/>
                <w:sz w:val="21"/>
                <w:szCs w:val="21"/>
              </w:rPr>
            </w:pPr>
            <w:r>
              <w:rPr>
                <w:rFonts w:eastAsia="Times New Roman" w:hAnsi="Arial"/>
                <w:sz w:val="21"/>
                <w:szCs w:val="21"/>
              </w:rPr>
              <w:t>10 yıl</w:t>
            </w:r>
          </w:p>
        </w:tc>
        <w:tc>
          <w:tcPr>
            <w:tcW w:w="3182" w:type="dxa"/>
            <w:vMerge/>
            <w:tcBorders>
              <w:top w:val="nil"/>
              <w:left w:val="single" w:sz="4" w:space="0" w:color="000000"/>
              <w:bottom w:val="single" w:sz="4" w:space="0" w:color="000000"/>
              <w:right w:val="single" w:sz="4" w:space="0" w:color="000000"/>
              <w:tl2br w:val="nil"/>
              <w:tr2bl w:val="nil"/>
            </w:tcBorders>
          </w:tcPr>
          <w:p w14:paraId="16E25EEF" w14:textId="77777777" w:rsidR="005425C0" w:rsidRDefault="005425C0">
            <w:pPr>
              <w:spacing w:after="0" w:line="240" w:lineRule="auto"/>
              <w:rPr>
                <w:rFonts w:eastAsia="Times New Roman" w:hAnsi="Arial"/>
                <w:b/>
                <w:sz w:val="21"/>
                <w:szCs w:val="21"/>
              </w:rPr>
            </w:pPr>
          </w:p>
        </w:tc>
      </w:tr>
      <w:tr w:rsidR="005425C0" w14:paraId="16E25EF4"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1" w14:textId="77777777" w:rsidR="005425C0" w:rsidRDefault="00692935">
            <w:pPr>
              <w:spacing w:after="0" w:line="240" w:lineRule="auto"/>
              <w:rPr>
                <w:rFonts w:eastAsia="Times New Roman" w:hAnsi="Arial"/>
                <w:b/>
                <w:sz w:val="21"/>
                <w:szCs w:val="21"/>
              </w:rPr>
            </w:pPr>
            <w:r>
              <w:rPr>
                <w:rFonts w:eastAsia="Times New Roman" w:hAnsi="Arial"/>
                <w:sz w:val="21"/>
                <w:szCs w:val="21"/>
              </w:rPr>
              <w:t>Kamera kayıtları</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2" w14:textId="77777777" w:rsidR="005425C0" w:rsidRDefault="00692935">
            <w:pPr>
              <w:spacing w:after="0" w:line="240" w:lineRule="auto"/>
              <w:rPr>
                <w:rFonts w:eastAsia="Times New Roman" w:hAnsi="Arial"/>
                <w:b/>
                <w:sz w:val="21"/>
                <w:szCs w:val="21"/>
              </w:rPr>
            </w:pPr>
            <w:r>
              <w:rPr>
                <w:rFonts w:eastAsia="Times New Roman" w:hAnsi="Arial"/>
                <w:sz w:val="21"/>
                <w:szCs w:val="21"/>
              </w:rPr>
              <w:t>6 ay</w:t>
            </w:r>
          </w:p>
        </w:tc>
        <w:tc>
          <w:tcPr>
            <w:tcW w:w="3182" w:type="dxa"/>
            <w:vMerge/>
            <w:tcBorders>
              <w:top w:val="nil"/>
              <w:left w:val="single" w:sz="4" w:space="0" w:color="000000"/>
              <w:bottom w:val="single" w:sz="4" w:space="0" w:color="000000"/>
              <w:right w:val="single" w:sz="4" w:space="0" w:color="000000"/>
              <w:tl2br w:val="nil"/>
              <w:tr2bl w:val="nil"/>
            </w:tcBorders>
          </w:tcPr>
          <w:p w14:paraId="16E25EF3" w14:textId="77777777" w:rsidR="005425C0" w:rsidRDefault="005425C0">
            <w:pPr>
              <w:spacing w:after="0" w:line="240" w:lineRule="auto"/>
              <w:rPr>
                <w:rFonts w:eastAsia="Times New Roman" w:hAnsi="Arial"/>
                <w:b/>
                <w:sz w:val="21"/>
                <w:szCs w:val="21"/>
              </w:rPr>
            </w:pPr>
          </w:p>
        </w:tc>
      </w:tr>
      <w:tr w:rsidR="005425C0" w14:paraId="16E25EF8"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5" w14:textId="77777777" w:rsidR="005425C0" w:rsidRDefault="00692935" w:rsidP="0075782C">
            <w:pPr>
              <w:spacing w:after="0" w:line="240" w:lineRule="auto"/>
              <w:rPr>
                <w:rFonts w:eastAsia="Times New Roman" w:hAnsi="Arial"/>
                <w:b/>
                <w:sz w:val="21"/>
                <w:szCs w:val="21"/>
              </w:rPr>
            </w:pPr>
            <w:r>
              <w:rPr>
                <w:rFonts w:eastAsia="Times New Roman" w:hAnsi="Arial"/>
                <w:sz w:val="21"/>
                <w:szCs w:val="21"/>
              </w:rPr>
              <w:t xml:space="preserve">Firmalar Tarafından </w:t>
            </w:r>
            <w:r w:rsidR="0075782C">
              <w:rPr>
                <w:rFonts w:eastAsia="Times New Roman" w:hAnsi="Arial"/>
                <w:sz w:val="21"/>
                <w:szCs w:val="21"/>
              </w:rPr>
              <w:t xml:space="preserve">Federasyon </w:t>
            </w:r>
            <w:r>
              <w:rPr>
                <w:rFonts w:eastAsia="Times New Roman" w:hAnsi="Arial"/>
                <w:sz w:val="21"/>
                <w:szCs w:val="21"/>
              </w:rPr>
              <w:t>ile Paylaşılan Bilgiler</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6" w14:textId="77777777" w:rsidR="005425C0" w:rsidRDefault="0075782C">
            <w:pPr>
              <w:spacing w:after="0" w:line="240" w:lineRule="auto"/>
              <w:rPr>
                <w:rFonts w:eastAsia="Times New Roman" w:hAnsi="Arial"/>
                <w:b/>
                <w:sz w:val="21"/>
                <w:szCs w:val="21"/>
              </w:rPr>
            </w:pPr>
            <w:r>
              <w:rPr>
                <w:rFonts w:eastAsia="Times New Roman" w:hAnsi="Arial"/>
                <w:sz w:val="21"/>
                <w:szCs w:val="21"/>
              </w:rPr>
              <w:t xml:space="preserve">Federasyon </w:t>
            </w:r>
            <w:r w:rsidR="00692935">
              <w:rPr>
                <w:rFonts w:eastAsia="Times New Roman" w:hAnsi="Arial"/>
                <w:sz w:val="21"/>
                <w:szCs w:val="21"/>
              </w:rPr>
              <w:t xml:space="preserve">ile olan ilişkisi süresince ve sona ermesinden itibaren TBK m. 146 uyarınca 10 yıl </w:t>
            </w:r>
          </w:p>
        </w:tc>
        <w:tc>
          <w:tcPr>
            <w:tcW w:w="3182" w:type="dxa"/>
            <w:vMerge/>
            <w:tcBorders>
              <w:top w:val="nil"/>
              <w:left w:val="single" w:sz="4" w:space="0" w:color="000000"/>
              <w:bottom w:val="single" w:sz="4" w:space="0" w:color="000000"/>
              <w:right w:val="single" w:sz="4" w:space="0" w:color="000000"/>
              <w:tl2br w:val="nil"/>
              <w:tr2bl w:val="nil"/>
            </w:tcBorders>
          </w:tcPr>
          <w:p w14:paraId="16E25EF7" w14:textId="77777777" w:rsidR="005425C0" w:rsidRDefault="005425C0">
            <w:pPr>
              <w:spacing w:after="0" w:line="240" w:lineRule="auto"/>
              <w:rPr>
                <w:rFonts w:eastAsia="Times New Roman" w:hAnsi="Arial"/>
                <w:b/>
                <w:sz w:val="21"/>
                <w:szCs w:val="21"/>
              </w:rPr>
            </w:pPr>
          </w:p>
        </w:tc>
      </w:tr>
      <w:tr w:rsidR="005425C0" w14:paraId="16E25EFC" w14:textId="77777777">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9" w14:textId="77777777" w:rsidR="005425C0" w:rsidRDefault="00692935">
            <w:pPr>
              <w:spacing w:after="0" w:line="240" w:lineRule="auto"/>
              <w:rPr>
                <w:rFonts w:eastAsia="Times New Roman" w:hAnsi="Arial"/>
                <w:b/>
                <w:sz w:val="21"/>
                <w:szCs w:val="21"/>
              </w:rPr>
            </w:pPr>
            <w:r>
              <w:rPr>
                <w:rFonts w:eastAsia="Times New Roman" w:hAnsi="Arial"/>
                <w:sz w:val="21"/>
                <w:szCs w:val="21"/>
              </w:rPr>
              <w:t>Potansiyel müşterilerle ilgili telefon kayıtları</w:t>
            </w:r>
          </w:p>
        </w:tc>
        <w:tc>
          <w:tcPr>
            <w:tcW w:w="3182" w:type="dxa"/>
            <w:tcBorders>
              <w:top w:val="single" w:sz="4" w:space="0" w:color="000000"/>
              <w:left w:val="single" w:sz="4" w:space="0" w:color="000000"/>
              <w:bottom w:val="single" w:sz="4" w:space="0" w:color="000000"/>
              <w:right w:val="single" w:sz="4" w:space="0" w:color="000000"/>
              <w:tl2br w:val="nil"/>
              <w:tr2bl w:val="nil"/>
            </w:tcBorders>
          </w:tcPr>
          <w:p w14:paraId="16E25EFA" w14:textId="77777777" w:rsidR="005425C0" w:rsidRDefault="00692935">
            <w:pPr>
              <w:spacing w:after="0" w:line="240" w:lineRule="auto"/>
              <w:rPr>
                <w:rFonts w:eastAsia="Times New Roman" w:hAnsi="Arial"/>
                <w:sz w:val="21"/>
                <w:szCs w:val="21"/>
              </w:rPr>
            </w:pPr>
            <w:r>
              <w:rPr>
                <w:rFonts w:eastAsia="Times New Roman" w:hAnsi="Arial"/>
                <w:sz w:val="21"/>
                <w:szCs w:val="21"/>
              </w:rPr>
              <w:t>Görüşmeden itibaren 2 yıl</w:t>
            </w:r>
          </w:p>
        </w:tc>
        <w:tc>
          <w:tcPr>
            <w:tcW w:w="3182" w:type="dxa"/>
            <w:vMerge/>
            <w:tcBorders>
              <w:top w:val="nil"/>
              <w:left w:val="single" w:sz="4" w:space="0" w:color="000000"/>
              <w:bottom w:val="single" w:sz="4" w:space="0" w:color="000000"/>
              <w:right w:val="single" w:sz="4" w:space="0" w:color="000000"/>
              <w:tl2br w:val="nil"/>
              <w:tr2bl w:val="nil"/>
            </w:tcBorders>
          </w:tcPr>
          <w:p w14:paraId="16E25EFB" w14:textId="77777777" w:rsidR="005425C0" w:rsidRDefault="005425C0">
            <w:pPr>
              <w:spacing w:after="0" w:line="240" w:lineRule="auto"/>
              <w:rPr>
                <w:rFonts w:eastAsia="Times New Roman" w:hAnsi="Arial"/>
                <w:b/>
                <w:sz w:val="21"/>
                <w:szCs w:val="21"/>
              </w:rPr>
            </w:pPr>
          </w:p>
        </w:tc>
      </w:tr>
    </w:tbl>
    <w:p w14:paraId="16E25EFD" w14:textId="77777777" w:rsidR="005425C0" w:rsidRDefault="005425C0">
      <w:pPr>
        <w:rPr>
          <w:rFonts w:hAnsi="Arial"/>
          <w:b/>
          <w:sz w:val="21"/>
          <w:szCs w:val="21"/>
        </w:rPr>
      </w:pPr>
    </w:p>
    <w:p w14:paraId="16E25EFE" w14:textId="77777777" w:rsidR="005425C0" w:rsidRDefault="00692935">
      <w:pPr>
        <w:pStyle w:val="Balk1"/>
        <w:rPr>
          <w:rFonts w:hAnsi="Arial"/>
          <w:sz w:val="21"/>
          <w:szCs w:val="21"/>
        </w:rPr>
      </w:pPr>
      <w:bookmarkStart w:id="10" w:name="_Toc31893110"/>
      <w:r>
        <w:rPr>
          <w:rFonts w:hAnsi="Arial"/>
          <w:sz w:val="21"/>
          <w:szCs w:val="21"/>
        </w:rPr>
        <w:t>11. PERİYODİK İMHA SÜRESİ VE İMHA TUTANAKLARI</w:t>
      </w:r>
      <w:bookmarkEnd w:id="10"/>
    </w:p>
    <w:p w14:paraId="16E25EFF" w14:textId="77777777" w:rsidR="005425C0" w:rsidRDefault="00692935">
      <w:pPr>
        <w:rPr>
          <w:rFonts w:hAnsi="Arial"/>
          <w:sz w:val="21"/>
          <w:szCs w:val="21"/>
        </w:rPr>
      </w:pPr>
      <w:r>
        <w:rPr>
          <w:rFonts w:hAnsi="Arial"/>
          <w:sz w:val="21"/>
          <w:szCs w:val="21"/>
        </w:rPr>
        <w:t>Yönetmelik uyarınca periyodik imha 6 ayda bir yapılır. Buna göre, her yıl Haziran ve Aralık aylarında periyodik imha işlemi gerçekleştirilir. Öngörülen saklama süresi geçtiği tespit edilen kişisel veriler; veri sorumlusu tarafından silme, yok etme veya anonim hale getirme yükümlülüğünün ortaya çıktığı tarihi takip eden ilk periyodik imha işleminde silinir, yok edilir veya anonim hale getirilir.</w:t>
      </w:r>
    </w:p>
    <w:p w14:paraId="16E25F00" w14:textId="77777777" w:rsidR="005425C0" w:rsidRDefault="00692935">
      <w:pPr>
        <w:rPr>
          <w:rFonts w:hAnsi="Arial"/>
          <w:sz w:val="21"/>
          <w:szCs w:val="21"/>
        </w:rPr>
      </w:pPr>
      <w:r>
        <w:rPr>
          <w:rFonts w:hAnsi="Arial"/>
          <w:sz w:val="21"/>
          <w:szCs w:val="21"/>
        </w:rPr>
        <w:t>Kişisel verilerin çeşitli yöntemler kullanılarak imha edilmesi halinde, hangi kişisel verilerin imhasının kim tarafından, ne zaman ve ne şekilde yapıldığı tutanak altına alınarak imha işlemini gerçekleştiren kişi tarafından imzalanır. İmha tutanakları 3 yıl süre ile saklanır.</w:t>
      </w:r>
    </w:p>
    <w:p w14:paraId="16E25F01" w14:textId="77777777" w:rsidR="005425C0" w:rsidRDefault="00692935">
      <w:pPr>
        <w:pStyle w:val="Balk1"/>
        <w:rPr>
          <w:rFonts w:hAnsi="Arial"/>
          <w:sz w:val="21"/>
          <w:szCs w:val="21"/>
        </w:rPr>
      </w:pPr>
      <w:bookmarkStart w:id="11" w:name="_Toc31893111"/>
      <w:r>
        <w:rPr>
          <w:rFonts w:hAnsi="Arial"/>
          <w:sz w:val="21"/>
          <w:szCs w:val="21"/>
        </w:rPr>
        <w:t>12. ALINAN TEKNİK VE İDARİ TEDBİRLER</w:t>
      </w:r>
      <w:bookmarkEnd w:id="11"/>
    </w:p>
    <w:p w14:paraId="16E25F02" w14:textId="77777777" w:rsidR="005425C0" w:rsidRDefault="00692935">
      <w:pPr>
        <w:rPr>
          <w:rFonts w:hAnsi="Arial"/>
          <w:sz w:val="21"/>
          <w:szCs w:val="21"/>
        </w:rPr>
      </w:pPr>
      <w:r>
        <w:rPr>
          <w:rFonts w:hAnsi="Arial"/>
          <w:sz w:val="21"/>
          <w:szCs w:val="21"/>
        </w:rPr>
        <w:t>Kişisel verilerin güvenli bir şekilde saklanması ve imha edilmesi ile hukuka aykırı olarak işlenmesi ve erişilmesinin önlenmesi için teknik ve idari tedbirler alınmıştır.</w:t>
      </w:r>
    </w:p>
    <w:p w14:paraId="16E25F03" w14:textId="77777777" w:rsidR="005425C0" w:rsidRDefault="00692935">
      <w:pPr>
        <w:pStyle w:val="Balk2"/>
        <w:rPr>
          <w:rFonts w:cs="Arial" w:hint="default"/>
          <w:sz w:val="21"/>
          <w:szCs w:val="21"/>
        </w:rPr>
      </w:pPr>
      <w:bookmarkStart w:id="12" w:name="_Toc31893112"/>
      <w:r>
        <w:rPr>
          <w:rFonts w:cs="Arial" w:hint="default"/>
          <w:sz w:val="21"/>
          <w:szCs w:val="21"/>
        </w:rPr>
        <w:t>13.1. İdari Tedbirler</w:t>
      </w:r>
      <w:bookmarkEnd w:id="12"/>
    </w:p>
    <w:p w14:paraId="16E25F04" w14:textId="77777777" w:rsidR="005425C0" w:rsidRDefault="00692935">
      <w:pPr>
        <w:numPr>
          <w:ilvl w:val="0"/>
          <w:numId w:val="5"/>
        </w:numPr>
        <w:rPr>
          <w:rFonts w:hAnsi="Arial"/>
          <w:sz w:val="21"/>
          <w:szCs w:val="21"/>
        </w:rPr>
      </w:pPr>
      <w:r>
        <w:rPr>
          <w:rFonts w:hAnsi="Arial"/>
          <w:sz w:val="21"/>
          <w:szCs w:val="21"/>
        </w:rPr>
        <w:t>"Kişisel Veri İşleme Envanteri" hazırlanmıştır.</w:t>
      </w:r>
    </w:p>
    <w:p w14:paraId="16E25F05" w14:textId="77777777" w:rsidR="005425C0" w:rsidRDefault="00692935">
      <w:pPr>
        <w:numPr>
          <w:ilvl w:val="0"/>
          <w:numId w:val="5"/>
        </w:numPr>
        <w:rPr>
          <w:rFonts w:hAnsi="Arial"/>
          <w:sz w:val="21"/>
          <w:szCs w:val="21"/>
        </w:rPr>
      </w:pPr>
      <w:r>
        <w:rPr>
          <w:rFonts w:hAnsi="Arial"/>
          <w:sz w:val="21"/>
          <w:szCs w:val="21"/>
        </w:rPr>
        <w:t xml:space="preserve">"Kişisel Verilerin Korunması Politikası", "Çalışan Bilgilendirme, Taahhütname ve Elektronik Posta Kullanım Politikası" ve "Kişisel Veri Saklama ve İmha Politikası" başta olmak üzere kurumsal politikalar hazırlanmıştır. </w:t>
      </w:r>
    </w:p>
    <w:p w14:paraId="16E25F06" w14:textId="066D7182" w:rsidR="005425C0" w:rsidRDefault="00692935">
      <w:pPr>
        <w:numPr>
          <w:ilvl w:val="0"/>
          <w:numId w:val="5"/>
        </w:numPr>
        <w:rPr>
          <w:rFonts w:hAnsi="Arial"/>
          <w:sz w:val="21"/>
          <w:szCs w:val="21"/>
        </w:rPr>
      </w:pPr>
      <w:r>
        <w:rPr>
          <w:rFonts w:hAnsi="Arial"/>
          <w:sz w:val="21"/>
          <w:szCs w:val="21"/>
        </w:rPr>
        <w:t>Veri sorumlusu ve veri işleyen 3. Kişilerle yapılmış sözleşmelere K</w:t>
      </w:r>
      <w:r w:rsidR="00B81316">
        <w:rPr>
          <w:rFonts w:hAnsi="Arial"/>
          <w:sz w:val="21"/>
          <w:szCs w:val="21"/>
        </w:rPr>
        <w:t>VKK</w:t>
      </w:r>
      <w:r>
        <w:rPr>
          <w:rFonts w:hAnsi="Arial"/>
          <w:sz w:val="21"/>
          <w:szCs w:val="21"/>
        </w:rPr>
        <w:t xml:space="preserve"> uyumluluğuna ilişkin ek protokoller imzalanmıştır.</w:t>
      </w:r>
    </w:p>
    <w:p w14:paraId="16E25F07" w14:textId="77777777" w:rsidR="005425C0" w:rsidRDefault="00692935">
      <w:pPr>
        <w:numPr>
          <w:ilvl w:val="0"/>
          <w:numId w:val="5"/>
        </w:numPr>
        <w:rPr>
          <w:rFonts w:hAnsi="Arial"/>
          <w:sz w:val="21"/>
          <w:szCs w:val="21"/>
        </w:rPr>
      </w:pPr>
      <w:r>
        <w:rPr>
          <w:rFonts w:hAnsi="Arial"/>
          <w:sz w:val="21"/>
          <w:szCs w:val="21"/>
        </w:rPr>
        <w:t>Özel nitelikli veri işleyen çalışanlar ve genel nitelikli veri işleyen çalışanlar ile ayrı ayrı gizlilik sözleşmeleri akdedilmiştir.</w:t>
      </w:r>
    </w:p>
    <w:p w14:paraId="16E25F08" w14:textId="77777777" w:rsidR="005425C0" w:rsidRDefault="00692935">
      <w:pPr>
        <w:numPr>
          <w:ilvl w:val="0"/>
          <w:numId w:val="5"/>
        </w:numPr>
        <w:rPr>
          <w:rFonts w:hAnsi="Arial"/>
          <w:sz w:val="21"/>
          <w:szCs w:val="21"/>
        </w:rPr>
      </w:pPr>
      <w:r>
        <w:rPr>
          <w:rFonts w:hAnsi="Arial"/>
          <w:sz w:val="21"/>
          <w:szCs w:val="21"/>
        </w:rPr>
        <w:t>Kurum içi periyodik/ rastgele denetimler ve risk analizleri yapılmaktadır.</w:t>
      </w:r>
    </w:p>
    <w:p w14:paraId="16E25F09" w14:textId="6294B0A7" w:rsidR="005425C0" w:rsidRDefault="00692935">
      <w:pPr>
        <w:numPr>
          <w:ilvl w:val="0"/>
          <w:numId w:val="5"/>
        </w:numPr>
        <w:rPr>
          <w:rFonts w:hAnsi="Arial"/>
          <w:sz w:val="21"/>
          <w:szCs w:val="21"/>
        </w:rPr>
      </w:pPr>
      <w:r>
        <w:rPr>
          <w:rFonts w:hAnsi="Arial"/>
          <w:sz w:val="21"/>
          <w:szCs w:val="21"/>
        </w:rPr>
        <w:t>Mevcut iş sözleşmelerine K</w:t>
      </w:r>
      <w:r w:rsidR="00B81316">
        <w:rPr>
          <w:rFonts w:hAnsi="Arial"/>
          <w:sz w:val="21"/>
          <w:szCs w:val="21"/>
        </w:rPr>
        <w:t>VKK</w:t>
      </w:r>
      <w:r>
        <w:rPr>
          <w:rFonts w:hAnsi="Arial"/>
          <w:sz w:val="21"/>
          <w:szCs w:val="21"/>
        </w:rPr>
        <w:t xml:space="preserve"> uyumluluğuna ilişkin ek hükümler ilave edilmiştir.</w:t>
      </w:r>
    </w:p>
    <w:p w14:paraId="16E25F0A" w14:textId="2491CA09" w:rsidR="005425C0" w:rsidRDefault="00692935">
      <w:pPr>
        <w:numPr>
          <w:ilvl w:val="0"/>
          <w:numId w:val="5"/>
        </w:numPr>
        <w:rPr>
          <w:rFonts w:hAnsi="Arial"/>
          <w:sz w:val="21"/>
          <w:szCs w:val="21"/>
        </w:rPr>
      </w:pPr>
      <w:r>
        <w:rPr>
          <w:rFonts w:hAnsi="Arial"/>
          <w:sz w:val="21"/>
          <w:szCs w:val="21"/>
        </w:rPr>
        <w:t>K</w:t>
      </w:r>
      <w:r w:rsidR="00B81316">
        <w:rPr>
          <w:rFonts w:hAnsi="Arial"/>
          <w:sz w:val="21"/>
          <w:szCs w:val="21"/>
        </w:rPr>
        <w:t>VKK</w:t>
      </w:r>
      <w:r>
        <w:rPr>
          <w:rFonts w:hAnsi="Arial"/>
          <w:sz w:val="21"/>
          <w:szCs w:val="21"/>
        </w:rPr>
        <w:t xml:space="preserve"> ve bilgi güvenliğine ilişkin eğitimler ve farkındalık toplantıları gerçekleştirilmiştir.</w:t>
      </w:r>
    </w:p>
    <w:p w14:paraId="16E25F0B" w14:textId="77777777" w:rsidR="005425C0" w:rsidRDefault="00692935">
      <w:pPr>
        <w:pStyle w:val="Balk2"/>
        <w:rPr>
          <w:rFonts w:cs="Arial" w:hint="default"/>
          <w:sz w:val="21"/>
          <w:szCs w:val="21"/>
        </w:rPr>
      </w:pPr>
      <w:bookmarkStart w:id="13" w:name="_Toc31893113"/>
      <w:r>
        <w:rPr>
          <w:rFonts w:cs="Arial" w:hint="default"/>
          <w:sz w:val="21"/>
          <w:szCs w:val="21"/>
        </w:rPr>
        <w:lastRenderedPageBreak/>
        <w:t>13.2.Teknik Tedbirler</w:t>
      </w:r>
      <w:bookmarkEnd w:id="13"/>
    </w:p>
    <w:p w14:paraId="16E25F0C" w14:textId="77777777" w:rsidR="005425C0" w:rsidRDefault="00692935">
      <w:pPr>
        <w:rPr>
          <w:rFonts w:hAnsi="Arial"/>
          <w:sz w:val="21"/>
          <w:szCs w:val="21"/>
        </w:rPr>
      </w:pPr>
      <w:r>
        <w:rPr>
          <w:rFonts w:hAnsi="Arial"/>
          <w:sz w:val="21"/>
          <w:szCs w:val="21"/>
        </w:rPr>
        <w:t>Yetki Matrisi hazırlanarak Yetki Kontrolü sağlanmaktadır. Erişim Logları ve Log Kayıtları tutulmaktadır. Şifreleme kullanılmaktadır. Kullanıcı Hesap Yönetimi ile her ilgili kullanıcının işlemleri tespit edilebilmektedir. Periyodik olarak yapılan Sızma Testleri, Veri Kaybı Önleme Yazılımları, Güvenlik Duvarları ve Güncel Anti-Virüs Sistemleri ile Uygulama ve Ağ Güvenliği sağlanmaktadır. Saldırı Tespit ve Önleme Sistemleri, veri maskeleme ve yedekleme yapma suretiyle kişisel verilerin güvenliği sağlanmaktadır.</w:t>
      </w:r>
    </w:p>
    <w:p w14:paraId="16E25F0D" w14:textId="77777777" w:rsidR="005425C0" w:rsidRDefault="00692935">
      <w:pPr>
        <w:pStyle w:val="Balk1"/>
        <w:rPr>
          <w:rFonts w:hAnsi="Arial"/>
          <w:sz w:val="21"/>
          <w:szCs w:val="21"/>
        </w:rPr>
      </w:pPr>
      <w:bookmarkStart w:id="14" w:name="_Toc31893114"/>
      <w:r>
        <w:rPr>
          <w:rFonts w:hAnsi="Arial"/>
          <w:sz w:val="21"/>
          <w:szCs w:val="21"/>
        </w:rPr>
        <w:t>14. İLGİLİ KİŞİNİN HAKLARI</w:t>
      </w:r>
      <w:bookmarkEnd w:id="14"/>
    </w:p>
    <w:p w14:paraId="16E25F0E" w14:textId="77777777" w:rsidR="005425C0" w:rsidRDefault="00692935">
      <w:pPr>
        <w:spacing w:after="0" w:line="240" w:lineRule="auto"/>
        <w:ind w:right="-142"/>
        <w:rPr>
          <w:rFonts w:hAnsi="Arial"/>
          <w:sz w:val="21"/>
          <w:szCs w:val="21"/>
        </w:rPr>
      </w:pPr>
      <w:r>
        <w:rPr>
          <w:rFonts w:hAnsi="Arial"/>
          <w:sz w:val="21"/>
          <w:szCs w:val="21"/>
        </w:rPr>
        <w:t xml:space="preserve">Kişisel verilerin korunması mevzuatı çerçevesinde, ilgili kişisel verilerinin silinmesini veya yok edilmesini isteme, kişisel verilerinizin eksik veya yanlış işlenmiş olması hâlinde bunların düzeltilmesine veya kişisel verilerin silinmesine veya yok edilmesine ilişkin işlemlerin kişisel verilerin aktarıldığı üçüncü kişilere bildirilmesini isteme haklarına sahiptir. </w:t>
      </w:r>
    </w:p>
    <w:p w14:paraId="16E25F0F" w14:textId="77777777" w:rsidR="005425C0" w:rsidRDefault="005425C0">
      <w:pPr>
        <w:spacing w:after="0" w:line="240" w:lineRule="auto"/>
        <w:rPr>
          <w:rFonts w:hAnsi="Arial"/>
          <w:color w:val="000000"/>
          <w:sz w:val="21"/>
          <w:szCs w:val="21"/>
        </w:rPr>
      </w:pPr>
    </w:p>
    <w:p w14:paraId="16E25F10" w14:textId="1FC58558" w:rsidR="005425C0" w:rsidRPr="00D35632" w:rsidRDefault="00692935">
      <w:pPr>
        <w:spacing w:after="0" w:line="240" w:lineRule="auto"/>
        <w:ind w:right="-397"/>
        <w:rPr>
          <w:rFonts w:hAnsi="Arial"/>
          <w:sz w:val="21"/>
          <w:szCs w:val="21"/>
        </w:rPr>
      </w:pPr>
      <w:r w:rsidRPr="00D35632">
        <w:rPr>
          <w:rFonts w:hAnsi="Arial"/>
          <w:sz w:val="21"/>
          <w:szCs w:val="21"/>
        </w:rPr>
        <w:t xml:space="preserve">Kanun kapsamında, ilgili kişiler kişisel verilerine ilgili başvurularınızı </w:t>
      </w:r>
      <w:r w:rsidRPr="00D35632">
        <w:rPr>
          <w:rFonts w:hAnsi="Arial"/>
          <w:b/>
          <w:sz w:val="21"/>
          <w:szCs w:val="21"/>
        </w:rPr>
        <w:t>[</w:t>
      </w:r>
      <w:r w:rsidR="00D35632" w:rsidRPr="00D35632">
        <w:rPr>
          <w:rFonts w:hAnsi="Arial"/>
          <w:b/>
          <w:sz w:val="21"/>
          <w:szCs w:val="21"/>
        </w:rPr>
        <w:t>www.taekwondo.org.tr</w:t>
      </w:r>
      <w:r w:rsidRPr="00D35632">
        <w:rPr>
          <w:rFonts w:hAnsi="Arial"/>
          <w:b/>
          <w:sz w:val="21"/>
          <w:szCs w:val="21"/>
        </w:rPr>
        <w:t>]</w:t>
      </w:r>
      <w:r w:rsidRPr="00D35632">
        <w:rPr>
          <w:rFonts w:hAnsi="Arial"/>
          <w:sz w:val="21"/>
          <w:szCs w:val="21"/>
        </w:rPr>
        <w:t xml:space="preserve"> linkindeki form ile aşağıda belirtilen kanallardan birini kullanarak;</w:t>
      </w:r>
    </w:p>
    <w:p w14:paraId="16E25F11" w14:textId="77777777" w:rsidR="005425C0" w:rsidRPr="00D35632" w:rsidRDefault="00692935">
      <w:pPr>
        <w:spacing w:after="0" w:line="240" w:lineRule="auto"/>
        <w:ind w:right="-397"/>
        <w:rPr>
          <w:rFonts w:hAnsi="Arial"/>
          <w:sz w:val="21"/>
          <w:szCs w:val="21"/>
        </w:rPr>
      </w:pPr>
      <w:r w:rsidRPr="00D35632">
        <w:rPr>
          <w:rFonts w:hAnsi="Arial"/>
          <w:sz w:val="21"/>
          <w:szCs w:val="21"/>
        </w:rPr>
        <w:t xml:space="preserve"> </w:t>
      </w:r>
    </w:p>
    <w:p w14:paraId="16E25F12" w14:textId="1B673583" w:rsidR="005425C0" w:rsidRPr="00D35632" w:rsidRDefault="00194507">
      <w:pPr>
        <w:numPr>
          <w:ilvl w:val="0"/>
          <w:numId w:val="6"/>
        </w:numPr>
        <w:spacing w:after="0" w:line="240" w:lineRule="auto"/>
        <w:ind w:left="677" w:right="-403"/>
        <w:rPr>
          <w:rFonts w:hAnsi="Arial"/>
          <w:color w:val="000000"/>
          <w:sz w:val="21"/>
          <w:szCs w:val="21"/>
        </w:rPr>
      </w:pPr>
      <w:r w:rsidRPr="005B55AB">
        <w:rPr>
          <w:b/>
          <w:szCs w:val="20"/>
        </w:rPr>
        <w:t>[Balgat Mahallesi Mevlana Bulvar</w:t>
      </w:r>
      <w:r w:rsidRPr="005B55AB">
        <w:rPr>
          <w:b/>
          <w:szCs w:val="20"/>
        </w:rPr>
        <w:t>ı</w:t>
      </w:r>
      <w:r w:rsidRPr="005B55AB">
        <w:rPr>
          <w:b/>
          <w:szCs w:val="20"/>
        </w:rPr>
        <w:t xml:space="preserve"> Yelken Plaza No:139A-45 </w:t>
      </w:r>
      <w:r w:rsidRPr="005B55AB">
        <w:rPr>
          <w:b/>
          <w:szCs w:val="20"/>
        </w:rPr>
        <w:t>Ç</w:t>
      </w:r>
      <w:r w:rsidRPr="005B55AB">
        <w:rPr>
          <w:b/>
          <w:szCs w:val="20"/>
        </w:rPr>
        <w:t>ankaya ANKARA]</w:t>
      </w:r>
      <w:r w:rsidRPr="00D35632">
        <w:rPr>
          <w:szCs w:val="20"/>
        </w:rPr>
        <w:t xml:space="preserve">  </w:t>
      </w:r>
      <w:r w:rsidR="00692935" w:rsidRPr="00D35632">
        <w:rPr>
          <w:rFonts w:hAnsi="Arial"/>
          <w:sz w:val="21"/>
          <w:szCs w:val="21"/>
        </w:rPr>
        <w:t>]</w:t>
      </w:r>
      <w:r w:rsidR="00692935" w:rsidRPr="00D35632">
        <w:rPr>
          <w:rFonts w:hAnsi="Arial"/>
          <w:color w:val="000000"/>
          <w:sz w:val="21"/>
          <w:szCs w:val="21"/>
        </w:rPr>
        <w:t xml:space="preserve">adresine kimlik teyidinizin yapılması sağlanarak bizzat; veya </w:t>
      </w:r>
    </w:p>
    <w:p w14:paraId="16E25F13" w14:textId="56E5270C" w:rsidR="005425C0" w:rsidRPr="00D35632" w:rsidRDefault="00692935">
      <w:pPr>
        <w:numPr>
          <w:ilvl w:val="0"/>
          <w:numId w:val="6"/>
        </w:numPr>
        <w:spacing w:after="0" w:line="240" w:lineRule="auto"/>
        <w:ind w:left="677" w:right="-403"/>
        <w:rPr>
          <w:rFonts w:hAnsi="Arial"/>
          <w:color w:val="000000"/>
          <w:sz w:val="21"/>
          <w:szCs w:val="21"/>
        </w:rPr>
      </w:pPr>
      <w:r w:rsidRPr="00D35632">
        <w:rPr>
          <w:rFonts w:hAnsi="Arial"/>
          <w:color w:val="000000"/>
          <w:sz w:val="21"/>
          <w:szCs w:val="21"/>
        </w:rPr>
        <w:t xml:space="preserve">Federasyonun </w:t>
      </w:r>
      <w:hyperlink r:id="rId9" w:history="1">
        <w:r w:rsidR="00B418FB" w:rsidRPr="005B55AB">
          <w:rPr>
            <w:b/>
            <w:szCs w:val="20"/>
          </w:rPr>
          <w:t xml:space="preserve">[taekwondofederasyonu@hs01.kep tr ] </w:t>
        </w:r>
      </w:hyperlink>
      <w:r w:rsidRPr="00D35632">
        <w:rPr>
          <w:rFonts w:hAnsi="Arial"/>
          <w:color w:val="000000"/>
          <w:sz w:val="21"/>
          <w:szCs w:val="21"/>
        </w:rPr>
        <w:t xml:space="preserve"> posta adresine; veya </w:t>
      </w:r>
    </w:p>
    <w:p w14:paraId="16E25F14" w14:textId="714150D6" w:rsidR="005425C0" w:rsidRPr="00D35632" w:rsidRDefault="00692935">
      <w:pPr>
        <w:numPr>
          <w:ilvl w:val="0"/>
          <w:numId w:val="6"/>
        </w:numPr>
        <w:spacing w:after="0" w:line="240" w:lineRule="auto"/>
        <w:ind w:left="677" w:right="-403"/>
        <w:rPr>
          <w:rFonts w:hAnsi="Arial"/>
          <w:color w:val="000000"/>
          <w:sz w:val="21"/>
          <w:szCs w:val="21"/>
        </w:rPr>
      </w:pPr>
      <w:r w:rsidRPr="00D35632">
        <w:rPr>
          <w:rFonts w:hAnsi="Arial"/>
          <w:color w:val="000000"/>
          <w:sz w:val="21"/>
          <w:szCs w:val="21"/>
        </w:rPr>
        <w:t xml:space="preserve">Güvenli elektronik veya mobil imzanız ile </w:t>
      </w:r>
      <w:hyperlink r:id="rId10" w:history="1">
        <w:r w:rsidRPr="005B55AB">
          <w:rPr>
            <w:rFonts w:hAnsi="Arial"/>
            <w:b/>
            <w:sz w:val="21"/>
            <w:szCs w:val="21"/>
          </w:rPr>
          <w:t>[</w:t>
        </w:r>
        <w:r w:rsidR="00B02AD2" w:rsidRPr="005B55AB">
          <w:rPr>
            <w:b/>
            <w:szCs w:val="20"/>
          </w:rPr>
          <w:t>taekwondo@gsb.gov.tr]</w:t>
        </w:r>
        <w:r w:rsidR="00B02AD2" w:rsidRPr="00D35632">
          <w:rPr>
            <w:szCs w:val="20"/>
          </w:rPr>
          <w:t xml:space="preserve"> </w:t>
        </w:r>
        <w:r w:rsidRPr="00D35632">
          <w:rPr>
            <w:rFonts w:hAnsi="Arial"/>
            <w:sz w:val="21"/>
            <w:szCs w:val="21"/>
          </w:rPr>
          <w:t xml:space="preserve"> </w:t>
        </w:r>
        <w:r w:rsidRPr="00D35632">
          <w:rPr>
            <w:rFonts w:hAnsi="Arial"/>
            <w:color w:val="000000"/>
            <w:sz w:val="21"/>
            <w:szCs w:val="21"/>
          </w:rPr>
          <w:t>com.tr</w:t>
        </w:r>
      </w:hyperlink>
      <w:r w:rsidRPr="00D35632">
        <w:rPr>
          <w:rFonts w:hAnsi="Arial"/>
          <w:color w:val="000000"/>
          <w:sz w:val="21"/>
          <w:szCs w:val="21"/>
        </w:rPr>
        <w:t xml:space="preserve"> adresine veya </w:t>
      </w:r>
    </w:p>
    <w:p w14:paraId="16E25F15" w14:textId="77777777" w:rsidR="005425C0" w:rsidRPr="00D35632" w:rsidRDefault="00692935">
      <w:pPr>
        <w:numPr>
          <w:ilvl w:val="0"/>
          <w:numId w:val="6"/>
        </w:numPr>
        <w:spacing w:after="0" w:line="240" w:lineRule="auto"/>
        <w:ind w:left="677" w:right="-403"/>
        <w:rPr>
          <w:rFonts w:hAnsi="Arial"/>
          <w:sz w:val="21"/>
          <w:szCs w:val="21"/>
        </w:rPr>
      </w:pPr>
      <w:r w:rsidRPr="00D35632">
        <w:rPr>
          <w:rFonts w:hAnsi="Arial"/>
          <w:color w:val="000000"/>
          <w:sz w:val="21"/>
          <w:szCs w:val="21"/>
        </w:rPr>
        <w:t>Kimlik</w:t>
      </w:r>
      <w:r w:rsidRPr="00D35632">
        <w:rPr>
          <w:rFonts w:hAnsi="Arial"/>
          <w:sz w:val="21"/>
          <w:szCs w:val="21"/>
        </w:rPr>
        <w:t xml:space="preserve"> teyidinizin yapılması sağlanarak, Kanun ve ilgili mevzuatta belirtilen diğer usuller ile veri sorumlusuna iletebilecektir.</w:t>
      </w:r>
    </w:p>
    <w:p w14:paraId="16E25F16" w14:textId="77777777" w:rsidR="005425C0" w:rsidRDefault="00692935">
      <w:pPr>
        <w:spacing w:before="240" w:after="0"/>
        <w:rPr>
          <w:rFonts w:hAnsi="Arial"/>
          <w:color w:val="000000"/>
          <w:sz w:val="21"/>
          <w:szCs w:val="21"/>
        </w:rPr>
      </w:pPr>
      <w:r>
        <w:rPr>
          <w:rFonts w:hAnsi="Arial"/>
          <w:sz w:val="21"/>
          <w:szCs w:val="21"/>
        </w:rPr>
        <w:t xml:space="preserve">Veri sorumlusu, Kanunu’nun 13. maddesine uygun olarak, başvuru taleplerini, talebin niteliğine göre ve en geç 30 </w:t>
      </w:r>
      <w:bookmarkStart w:id="15" w:name="_GoBack"/>
      <w:bookmarkEnd w:id="15"/>
      <w:r>
        <w:rPr>
          <w:rFonts w:hAnsi="Arial"/>
          <w:sz w:val="21"/>
          <w:szCs w:val="21"/>
        </w:rPr>
        <w:t xml:space="preserve">(otuz) gün içinde sonuçlandıracaktır. İşlemin maliyet gerektirmesi halinde, Kişisel Verilerin Korunması Kurulu tarafından belirlenen tarife uygulanacaktır. </w:t>
      </w:r>
    </w:p>
    <w:p w14:paraId="16E25F17" w14:textId="77777777" w:rsidR="005425C0" w:rsidRDefault="005425C0">
      <w:pPr>
        <w:rPr>
          <w:rFonts w:hAnsi="Arial"/>
          <w:sz w:val="21"/>
          <w:szCs w:val="21"/>
        </w:rPr>
      </w:pPr>
    </w:p>
    <w:p w14:paraId="16E25F18" w14:textId="77777777" w:rsidR="005425C0" w:rsidRDefault="005425C0"/>
    <w:p w14:paraId="16E25F19" w14:textId="77777777" w:rsidR="005425C0" w:rsidRDefault="005425C0"/>
    <w:sectPr w:rsidR="005425C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977F" w14:textId="77777777" w:rsidR="00B1745B" w:rsidRDefault="00B1745B">
      <w:pPr>
        <w:spacing w:line="240" w:lineRule="auto"/>
      </w:pPr>
      <w:r>
        <w:separator/>
      </w:r>
    </w:p>
  </w:endnote>
  <w:endnote w:type="continuationSeparator" w:id="0">
    <w:p w14:paraId="1240F8F7" w14:textId="77777777" w:rsidR="00B1745B" w:rsidRDefault="00B17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5A2B" w14:textId="77777777" w:rsidR="00B1745B" w:rsidRDefault="00B1745B">
      <w:pPr>
        <w:spacing w:after="0"/>
      </w:pPr>
      <w:r>
        <w:separator/>
      </w:r>
    </w:p>
  </w:footnote>
  <w:footnote w:type="continuationSeparator" w:id="0">
    <w:p w14:paraId="631B6B7E" w14:textId="77777777" w:rsidR="00B1745B" w:rsidRDefault="00B174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A3A40"/>
    <w:multiLevelType w:val="multilevel"/>
    <w:tmpl w:val="138A3A4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1">
    <w:nsid w:val="153711B6"/>
    <w:multiLevelType w:val="multilevel"/>
    <w:tmpl w:val="153711B6"/>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2">
    <w:nsid w:val="188B313B"/>
    <w:multiLevelType w:val="multilevel"/>
    <w:tmpl w:val="188B313B"/>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3">
    <w:nsid w:val="20DD681F"/>
    <w:multiLevelType w:val="multilevel"/>
    <w:tmpl w:val="20DD681F"/>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4">
    <w:nsid w:val="3F0153BE"/>
    <w:multiLevelType w:val="multilevel"/>
    <w:tmpl w:val="3F0153BE"/>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abstractNum w:abstractNumId="5">
    <w:nsid w:val="53134CD4"/>
    <w:multiLevelType w:val="multilevel"/>
    <w:tmpl w:val="53134CD4"/>
    <w:lvl w:ilvl="0">
      <w:start w:val="1"/>
      <w:numFmt w:val="bullet"/>
      <w:lvlText w:val=""/>
      <w:lvlJc w:val="left"/>
      <w:pPr>
        <w:ind w:left="323" w:hanging="360"/>
      </w:pPr>
      <w:rPr>
        <w:rFonts w:ascii="Symbol" w:hAnsi="Symbol" w:hint="default"/>
        <w:u w:val="none"/>
      </w:rPr>
    </w:lvl>
    <w:lvl w:ilvl="1">
      <w:start w:val="1"/>
      <w:numFmt w:val="bullet"/>
      <w:lvlText w:val="o"/>
      <w:lvlJc w:val="left"/>
      <w:pPr>
        <w:ind w:left="1043" w:hanging="360"/>
      </w:pPr>
      <w:rPr>
        <w:rFonts w:ascii="Courier New" w:hint="default"/>
        <w:u w:val="none"/>
      </w:rPr>
    </w:lvl>
    <w:lvl w:ilvl="2">
      <w:start w:val="1"/>
      <w:numFmt w:val="bullet"/>
      <w:lvlText w:val=""/>
      <w:lvlJc w:val="left"/>
      <w:pPr>
        <w:ind w:left="1763" w:hanging="360"/>
      </w:pPr>
      <w:rPr>
        <w:rFonts w:ascii="Wingdings" w:hAnsi="Wingdings" w:hint="default"/>
        <w:u w:val="none"/>
      </w:rPr>
    </w:lvl>
    <w:lvl w:ilvl="3">
      <w:start w:val="1"/>
      <w:numFmt w:val="bullet"/>
      <w:lvlText w:val=""/>
      <w:lvlJc w:val="left"/>
      <w:pPr>
        <w:ind w:left="2483" w:hanging="360"/>
      </w:pPr>
      <w:rPr>
        <w:rFonts w:ascii="Symbol" w:hAnsi="Symbol" w:hint="default"/>
        <w:u w:val="none"/>
      </w:rPr>
    </w:lvl>
    <w:lvl w:ilvl="4">
      <w:start w:val="1"/>
      <w:numFmt w:val="bullet"/>
      <w:lvlText w:val="o"/>
      <w:lvlJc w:val="left"/>
      <w:pPr>
        <w:ind w:left="3203" w:hanging="360"/>
      </w:pPr>
      <w:rPr>
        <w:rFonts w:ascii="Courier New" w:hint="default"/>
        <w:u w:val="none"/>
      </w:rPr>
    </w:lvl>
    <w:lvl w:ilvl="5">
      <w:start w:val="1"/>
      <w:numFmt w:val="bullet"/>
      <w:lvlText w:val=""/>
      <w:lvlJc w:val="left"/>
      <w:pPr>
        <w:ind w:left="3923" w:hanging="360"/>
      </w:pPr>
      <w:rPr>
        <w:rFonts w:ascii="Wingdings" w:hAnsi="Wingdings" w:hint="default"/>
        <w:u w:val="none"/>
      </w:rPr>
    </w:lvl>
    <w:lvl w:ilvl="6">
      <w:start w:val="1"/>
      <w:numFmt w:val="bullet"/>
      <w:lvlText w:val=""/>
      <w:lvlJc w:val="left"/>
      <w:pPr>
        <w:ind w:left="4643" w:hanging="360"/>
      </w:pPr>
      <w:rPr>
        <w:rFonts w:ascii="Symbol" w:hAnsi="Symbol" w:hint="default"/>
        <w:u w:val="none"/>
      </w:rPr>
    </w:lvl>
    <w:lvl w:ilvl="7">
      <w:start w:val="1"/>
      <w:numFmt w:val="bullet"/>
      <w:lvlText w:val="o"/>
      <w:lvlJc w:val="left"/>
      <w:pPr>
        <w:ind w:left="5363" w:hanging="360"/>
      </w:pPr>
      <w:rPr>
        <w:rFonts w:ascii="Courier New" w:hint="default"/>
        <w:u w:val="none"/>
      </w:rPr>
    </w:lvl>
    <w:lvl w:ilvl="8">
      <w:start w:val="1"/>
      <w:numFmt w:val="bullet"/>
      <w:lvlText w:val=""/>
      <w:lvlJc w:val="left"/>
      <w:pPr>
        <w:ind w:left="6083" w:hanging="360"/>
      </w:pPr>
      <w:rPr>
        <w:rFonts w:ascii="Wingdings" w:hAnsi="Wingdings" w:hint="default"/>
        <w:u w:val="no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05428"/>
    <w:rsid w:val="00194507"/>
    <w:rsid w:val="003164E1"/>
    <w:rsid w:val="005425C0"/>
    <w:rsid w:val="005B55AB"/>
    <w:rsid w:val="00692935"/>
    <w:rsid w:val="006D2295"/>
    <w:rsid w:val="0075737F"/>
    <w:rsid w:val="0075782C"/>
    <w:rsid w:val="00972830"/>
    <w:rsid w:val="009B72C2"/>
    <w:rsid w:val="009D359D"/>
    <w:rsid w:val="00B02AD2"/>
    <w:rsid w:val="00B1745B"/>
    <w:rsid w:val="00B418FB"/>
    <w:rsid w:val="00B81316"/>
    <w:rsid w:val="00C54458"/>
    <w:rsid w:val="00D06BCD"/>
    <w:rsid w:val="00D35632"/>
    <w:rsid w:val="00E74CC3"/>
    <w:rsid w:val="00EE76CF"/>
    <w:rsid w:val="66F0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25E63"/>
  <w15:docId w15:val="{99A73F1F-A99C-419D-B979-91FBF9DF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200" w:line="276" w:lineRule="auto"/>
      <w:jc w:val="both"/>
    </w:pPr>
    <w:rPr>
      <w:rFonts w:ascii="Arial" w:eastAsia="SimSun" w:hAnsi="Times New Roman" w:cs="Arial"/>
      <w:sz w:val="22"/>
      <w:szCs w:val="22"/>
    </w:rPr>
  </w:style>
  <w:style w:type="paragraph" w:styleId="Balk1">
    <w:name w:val="heading 1"/>
    <w:basedOn w:val="Normal"/>
    <w:next w:val="Normal"/>
    <w:uiPriority w:val="9"/>
    <w:unhideWhenUsed/>
    <w:qFormat/>
    <w:pPr>
      <w:keepNext/>
      <w:spacing w:before="240" w:after="60"/>
      <w:jc w:val="left"/>
      <w:outlineLvl w:val="0"/>
    </w:pPr>
    <w:rPr>
      <w:b/>
      <w:kern w:val="32"/>
      <w:szCs w:val="32"/>
    </w:rPr>
  </w:style>
  <w:style w:type="paragraph" w:styleId="Balk2">
    <w:name w:val="heading 2"/>
    <w:basedOn w:val="Normal"/>
    <w:next w:val="Normal"/>
    <w:uiPriority w:val="9"/>
    <w:unhideWhenUsed/>
    <w:qFormat/>
    <w:pPr>
      <w:keepNext/>
      <w:spacing w:before="240" w:after="60"/>
      <w:ind w:left="720"/>
      <w:jc w:val="left"/>
      <w:outlineLvl w:val="1"/>
    </w:pPr>
    <w:rPr>
      <w:rFonts w:eastAsia="Times New Roman" w:hAnsi="Arial" w:cs="Times New Roman" w:hint="eastAsia"/>
      <w:b/>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rFonts w:cs="Times New Roman" w:hint="default"/>
      <w:color w:val="0000FF"/>
      <w:sz w:val="24"/>
      <w:szCs w:val="24"/>
      <w:u w:val="single"/>
    </w:rPr>
  </w:style>
  <w:style w:type="paragraph" w:styleId="T1">
    <w:name w:val="toc 1"/>
    <w:basedOn w:val="Normal"/>
    <w:next w:val="Normal"/>
    <w:uiPriority w:val="39"/>
    <w:unhideWhenUsed/>
    <w:qFormat/>
    <w:pPr>
      <w:spacing w:after="100"/>
      <w:jc w:val="left"/>
    </w:pPr>
    <w:rPr>
      <w:rFonts w:ascii="Calibri" w:cs="Calibri"/>
      <w:lang w:eastAsia="en-US"/>
    </w:rPr>
  </w:style>
  <w:style w:type="paragraph" w:styleId="T2">
    <w:name w:val="toc 2"/>
    <w:basedOn w:val="Normal"/>
    <w:next w:val="Normal"/>
    <w:uiPriority w:val="39"/>
    <w:unhideWhenUsed/>
    <w:qFormat/>
    <w:pPr>
      <w:spacing w:after="100"/>
      <w:ind w:left="220"/>
      <w:jc w:val="left"/>
    </w:pPr>
    <w:rPr>
      <w:rFonts w:ascii="Calibri" w:cs="Calibri"/>
      <w:lang w:eastAsia="en-US"/>
    </w:rPr>
  </w:style>
  <w:style w:type="paragraph" w:customStyle="1" w:styleId="TBal1">
    <w:name w:val="İÇT Başlığı1"/>
    <w:basedOn w:val="Balk1"/>
    <w:next w:val="Normal"/>
    <w:uiPriority w:val="39"/>
    <w:unhideWhenUsed/>
    <w:qFormat/>
    <w:pPr>
      <w:keepLines/>
      <w:spacing w:before="480" w:after="0"/>
    </w:pPr>
    <w:rPr>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Destek@ingbank.com.tr" TargetMode="External"/><Relationship Id="rId4" Type="http://schemas.openxmlformats.org/officeDocument/2006/relationships/settings" Target="settings.xml"/><Relationship Id="rId9" Type="http://schemas.openxmlformats.org/officeDocument/2006/relationships/hyperlink" Target="mailto:ingbank@hs03.kep.t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2734</Words>
  <Characters>15584</Characters>
  <Application>Microsoft Office Word</Application>
  <DocSecurity>0</DocSecurity>
  <Lines>129</Lines>
  <Paragraphs>36</Paragraphs>
  <ScaleCrop>false</ScaleCrop>
  <Company>SilentAll Team</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Uluser</dc:creator>
  <cp:lastModifiedBy>Microsoft hesabı</cp:lastModifiedBy>
  <cp:revision>16</cp:revision>
  <dcterms:created xsi:type="dcterms:W3CDTF">2021-12-20T11:04:00Z</dcterms:created>
  <dcterms:modified xsi:type="dcterms:W3CDTF">2022-02-18T14:36:00Z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4B7DCC6232454DCD8DC01A0A91041C2C</vt:lpwstr>
  </property>
</Properties>
</file>